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0EBB">
      <w:pPr>
        <w:spacing w:line="360" w:lineRule="auto"/>
        <w:ind w:left="1118" w:leftChars="150" w:hanging="803" w:hangingChars="200"/>
        <w:jc w:val="center"/>
        <w:rPr>
          <w:rFonts w:ascii="宋体" w:hAnsi="宋体" w:cs="宋体"/>
          <w:b/>
          <w:bCs/>
          <w:sz w:val="40"/>
          <w:szCs w:val="40"/>
        </w:rPr>
      </w:pPr>
      <w:r>
        <w:rPr>
          <w:rFonts w:hint="eastAsia" w:ascii="宋体" w:hAnsi="宋体" w:cs="宋体"/>
          <w:b/>
          <w:bCs/>
          <w:sz w:val="40"/>
          <w:szCs w:val="40"/>
        </w:rPr>
        <w:t>宿州市银通资产经营投资有限责任公司</w:t>
      </w:r>
    </w:p>
    <w:p w14:paraId="213A5822">
      <w:pPr>
        <w:spacing w:line="360" w:lineRule="auto"/>
        <w:ind w:left="1118" w:leftChars="150" w:hanging="803" w:hangingChars="200"/>
        <w:jc w:val="center"/>
        <w:rPr>
          <w:rFonts w:ascii="宋体" w:hAnsi="宋体" w:cs="宋体"/>
          <w:b/>
          <w:bCs/>
          <w:sz w:val="40"/>
          <w:szCs w:val="40"/>
        </w:rPr>
      </w:pPr>
      <w:r>
        <w:rPr>
          <w:rFonts w:hint="eastAsia" w:ascii="宋体" w:hAnsi="宋体" w:cs="宋体"/>
          <w:b/>
          <w:bCs/>
          <w:sz w:val="40"/>
          <w:szCs w:val="40"/>
          <w:lang w:eastAsia="zh-CN"/>
        </w:rPr>
        <w:t>2025年</w:t>
      </w:r>
      <w:r>
        <w:rPr>
          <w:rFonts w:hint="eastAsia" w:ascii="宋体" w:hAnsi="宋体" w:cs="宋体"/>
          <w:b/>
          <w:bCs/>
          <w:sz w:val="40"/>
          <w:szCs w:val="40"/>
        </w:rPr>
        <w:t>主体评级服务采购项目</w:t>
      </w:r>
    </w:p>
    <w:p w14:paraId="5653D44F">
      <w:pPr>
        <w:spacing w:line="360" w:lineRule="auto"/>
        <w:jc w:val="center"/>
        <w:rPr>
          <w:rFonts w:ascii="宋体" w:hAnsi="宋体" w:cs="宋体"/>
          <w:sz w:val="24"/>
          <w:szCs w:val="24"/>
        </w:rPr>
      </w:pPr>
    </w:p>
    <w:p w14:paraId="6904D13C">
      <w:pPr>
        <w:spacing w:line="800" w:lineRule="exact"/>
        <w:rPr>
          <w:rFonts w:ascii="宋体" w:hAnsi="宋体" w:cs="宋体"/>
          <w:b/>
          <w:bCs/>
          <w:sz w:val="52"/>
          <w:szCs w:val="52"/>
        </w:rPr>
      </w:pPr>
      <w:permStart w:id="0" w:edGrp="everyone"/>
    </w:p>
    <w:p w14:paraId="78DBD245">
      <w:pPr>
        <w:spacing w:line="800" w:lineRule="exact"/>
        <w:jc w:val="center"/>
        <w:rPr>
          <w:rFonts w:ascii="宋体" w:hAnsi="宋体" w:cs="宋体"/>
          <w:b/>
          <w:bCs/>
          <w:sz w:val="52"/>
          <w:szCs w:val="52"/>
        </w:rPr>
      </w:pPr>
      <w:r>
        <w:rPr>
          <w:rFonts w:hint="eastAsia" w:ascii="宋体" w:hAnsi="宋体" w:cs="宋体"/>
          <w:b/>
          <w:bCs/>
          <w:sz w:val="52"/>
          <w:szCs w:val="52"/>
        </w:rPr>
        <w:t>比</w:t>
      </w:r>
    </w:p>
    <w:p w14:paraId="171CF7C4">
      <w:pPr>
        <w:spacing w:line="800" w:lineRule="exact"/>
        <w:jc w:val="center"/>
        <w:rPr>
          <w:rFonts w:ascii="宋体" w:hAnsi="宋体" w:cs="宋体"/>
          <w:b/>
          <w:bCs/>
          <w:sz w:val="52"/>
          <w:szCs w:val="52"/>
        </w:rPr>
      </w:pPr>
    </w:p>
    <w:p w14:paraId="241E9B5A">
      <w:pPr>
        <w:spacing w:line="800" w:lineRule="exact"/>
        <w:jc w:val="center"/>
        <w:rPr>
          <w:rFonts w:ascii="宋体" w:hAnsi="宋体" w:cs="宋体"/>
          <w:b/>
          <w:bCs/>
          <w:sz w:val="52"/>
          <w:szCs w:val="52"/>
        </w:rPr>
      </w:pPr>
      <w:r>
        <w:rPr>
          <w:rFonts w:hint="eastAsia" w:ascii="宋体" w:hAnsi="宋体" w:cs="宋体"/>
          <w:b/>
          <w:bCs/>
          <w:sz w:val="52"/>
          <w:szCs w:val="52"/>
        </w:rPr>
        <w:t>选</w:t>
      </w:r>
    </w:p>
    <w:permEnd w:id="0"/>
    <w:p w14:paraId="0BE63ED9">
      <w:pPr>
        <w:spacing w:line="800" w:lineRule="exact"/>
        <w:jc w:val="center"/>
        <w:rPr>
          <w:rFonts w:ascii="宋体" w:hAnsi="宋体" w:cs="宋体"/>
          <w:b/>
          <w:bCs/>
          <w:sz w:val="52"/>
          <w:szCs w:val="52"/>
        </w:rPr>
      </w:pPr>
    </w:p>
    <w:p w14:paraId="453A8FF4">
      <w:pPr>
        <w:spacing w:line="800" w:lineRule="exact"/>
        <w:jc w:val="center"/>
        <w:rPr>
          <w:rFonts w:ascii="宋体" w:hAnsi="宋体" w:cs="宋体"/>
          <w:b/>
          <w:bCs/>
          <w:sz w:val="52"/>
          <w:szCs w:val="52"/>
        </w:rPr>
      </w:pPr>
      <w:r>
        <w:rPr>
          <w:rFonts w:hint="eastAsia" w:ascii="宋体" w:hAnsi="宋体" w:cs="宋体"/>
          <w:b/>
          <w:bCs/>
          <w:sz w:val="52"/>
          <w:szCs w:val="52"/>
        </w:rPr>
        <w:t>文</w:t>
      </w:r>
    </w:p>
    <w:p w14:paraId="479360AA">
      <w:pPr>
        <w:spacing w:line="800" w:lineRule="exact"/>
        <w:jc w:val="center"/>
        <w:rPr>
          <w:rFonts w:ascii="宋体" w:hAnsi="宋体" w:cs="宋体"/>
          <w:b/>
          <w:bCs/>
          <w:sz w:val="52"/>
          <w:szCs w:val="52"/>
        </w:rPr>
      </w:pPr>
    </w:p>
    <w:p w14:paraId="72B16FAF">
      <w:pPr>
        <w:spacing w:line="800" w:lineRule="exact"/>
        <w:jc w:val="center"/>
        <w:rPr>
          <w:rFonts w:ascii="宋体" w:hAnsi="宋体" w:cs="宋体"/>
          <w:b/>
          <w:bCs/>
          <w:sz w:val="44"/>
          <w:szCs w:val="44"/>
        </w:rPr>
      </w:pPr>
      <w:r>
        <w:rPr>
          <w:rFonts w:hint="eastAsia" w:ascii="宋体" w:hAnsi="宋体" w:cs="宋体"/>
          <w:b/>
          <w:bCs/>
          <w:sz w:val="52"/>
          <w:szCs w:val="52"/>
        </w:rPr>
        <w:t>件</w:t>
      </w:r>
    </w:p>
    <w:p w14:paraId="1C1689EF">
      <w:pPr>
        <w:spacing w:line="360" w:lineRule="auto"/>
        <w:ind w:firstLine="3477" w:firstLineChars="1237"/>
        <w:rPr>
          <w:rFonts w:ascii="宋体" w:hAnsi="宋体" w:cs="宋体"/>
          <w:b/>
          <w:bCs/>
          <w:sz w:val="28"/>
          <w:szCs w:val="28"/>
        </w:rPr>
      </w:pPr>
      <w:r>
        <w:rPr>
          <w:rFonts w:hint="eastAsia" w:ascii="宋体" w:hAnsi="宋体" w:cs="宋体"/>
          <w:b/>
          <w:bCs/>
          <w:sz w:val="28"/>
          <w:szCs w:val="28"/>
        </w:rPr>
        <w:t xml:space="preserve"> </w:t>
      </w:r>
    </w:p>
    <w:p w14:paraId="27B644F5">
      <w:pPr>
        <w:spacing w:line="360" w:lineRule="auto"/>
        <w:rPr>
          <w:rFonts w:ascii="宋体" w:hAnsi="宋体" w:cs="宋体"/>
        </w:rPr>
      </w:pPr>
      <w:r>
        <w:rPr>
          <w:rFonts w:hint="eastAsia" w:ascii="宋体" w:hAnsi="宋体" w:cs="宋体"/>
        </w:rPr>
        <w:t xml:space="preserve"> </w:t>
      </w:r>
    </w:p>
    <w:p w14:paraId="16802826">
      <w:pPr>
        <w:pStyle w:val="19"/>
        <w:ind w:firstLine="560"/>
        <w:rPr>
          <w:rFonts w:ascii="宋体" w:hAnsi="宋体" w:eastAsia="宋体" w:cs="宋体"/>
        </w:rPr>
      </w:pPr>
    </w:p>
    <w:p w14:paraId="4D90F5AC">
      <w:pPr>
        <w:jc w:val="center"/>
        <w:rPr>
          <w:rFonts w:ascii="宋体" w:hAnsi="宋体" w:cs="宋体"/>
          <w:sz w:val="28"/>
          <w:szCs w:val="28"/>
        </w:rPr>
      </w:pPr>
      <w:r>
        <w:rPr>
          <w:rFonts w:hint="eastAsia" w:ascii="宋体" w:hAnsi="宋体" w:cs="宋体"/>
          <w:sz w:val="28"/>
          <w:szCs w:val="28"/>
        </w:rPr>
        <w:t xml:space="preserve">     采购人：</w:t>
      </w:r>
      <w:permStart w:id="1" w:edGrp="everyone"/>
      <w:r>
        <w:rPr>
          <w:rFonts w:hint="eastAsia" w:ascii="宋体" w:hAnsi="宋体" w:cs="宋体"/>
          <w:sz w:val="28"/>
          <w:szCs w:val="28"/>
        </w:rPr>
        <w:t xml:space="preserve">  宿州市银通资产经营投资有限责任公司 </w:t>
      </w:r>
      <w:permEnd w:id="1"/>
      <w:r>
        <w:rPr>
          <w:rFonts w:hint="eastAsia" w:ascii="宋体" w:hAnsi="宋体" w:cs="宋体"/>
          <w:sz w:val="28"/>
          <w:szCs w:val="28"/>
        </w:rPr>
        <w:t>（盖章）</w:t>
      </w:r>
    </w:p>
    <w:p w14:paraId="4D2DA658">
      <w:pPr>
        <w:spacing w:line="360" w:lineRule="auto"/>
        <w:ind w:right="42" w:rightChars="20"/>
        <w:jc w:val="center"/>
        <w:rPr>
          <w:rFonts w:ascii="宋体" w:hAnsi="宋体" w:cs="宋体"/>
          <w:b/>
          <w:bCs/>
          <w:sz w:val="30"/>
          <w:szCs w:val="30"/>
        </w:rPr>
      </w:pPr>
      <w:permStart w:id="2" w:edGrp="everyone"/>
      <w:r>
        <w:rPr>
          <w:rFonts w:hint="eastAsia" w:ascii="宋体" w:hAnsi="宋体" w:cs="宋体"/>
          <w:sz w:val="28"/>
          <w:szCs w:val="28"/>
        </w:rPr>
        <w:t xml:space="preserve"> </w:t>
      </w:r>
      <w:r>
        <w:rPr>
          <w:rFonts w:hint="eastAsia" w:ascii="宋体" w:hAnsi="宋体" w:cs="宋体"/>
          <w:b/>
          <w:bCs/>
          <w:sz w:val="30"/>
          <w:szCs w:val="30"/>
        </w:rPr>
        <w:t xml:space="preserve"> </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23</w:t>
      </w:r>
      <w:r>
        <w:rPr>
          <w:rFonts w:hint="eastAsia" w:ascii="宋体" w:hAnsi="宋体" w:cs="宋体"/>
          <w:sz w:val="28"/>
          <w:szCs w:val="28"/>
        </w:rPr>
        <w:t>日</w:t>
      </w:r>
    </w:p>
    <w:p w14:paraId="6B535628">
      <w:pPr>
        <w:jc w:val="left"/>
        <w:rPr>
          <w:rFonts w:ascii="宋体" w:hAnsi="宋体" w:cs="宋体"/>
          <w:color w:val="000000"/>
          <w:sz w:val="28"/>
          <w:szCs w:val="28"/>
          <w:highlight w:val="yellow"/>
          <w:u w:val="single"/>
        </w:rPr>
      </w:pPr>
    </w:p>
    <w:p w14:paraId="771D34B7">
      <w:pPr>
        <w:pStyle w:val="19"/>
        <w:ind w:firstLine="560"/>
        <w:rPr>
          <w:rFonts w:ascii="宋体" w:hAnsi="宋体" w:eastAsia="宋体" w:cs="宋体"/>
          <w:color w:val="000000"/>
          <w:szCs w:val="28"/>
          <w:highlight w:val="yellow"/>
          <w:u w:val="single"/>
        </w:rPr>
      </w:pPr>
    </w:p>
    <w:p w14:paraId="367C37CF">
      <w:pPr>
        <w:pStyle w:val="19"/>
        <w:ind w:firstLine="560"/>
        <w:rPr>
          <w:rFonts w:ascii="宋体" w:hAnsi="宋体" w:eastAsia="宋体" w:cs="宋体"/>
          <w:color w:val="000000"/>
          <w:szCs w:val="28"/>
          <w:highlight w:val="yellow"/>
          <w:u w:val="single"/>
        </w:rPr>
      </w:pPr>
    </w:p>
    <w:p w14:paraId="01AA1D52">
      <w:pPr>
        <w:spacing w:line="360" w:lineRule="exact"/>
        <w:rPr>
          <w:rFonts w:hint="eastAsia" w:ascii="宋体" w:hAnsi="宋体" w:cs="宋体"/>
          <w:sz w:val="28"/>
          <w:szCs w:val="28"/>
          <w:highlight w:val="yellow"/>
        </w:rPr>
      </w:pPr>
    </w:p>
    <w:permEnd w:id="2"/>
    <w:p w14:paraId="5A414FE5">
      <w:pPr>
        <w:pStyle w:val="33"/>
        <w:jc w:val="center"/>
      </w:pPr>
      <w:bookmarkStart w:id="0" w:name="_Toc511899286"/>
      <w:bookmarkEnd w:id="0"/>
      <w:bookmarkStart w:id="1" w:name="_Toc272218546"/>
      <w:bookmarkStart w:id="2" w:name="_Toc28951"/>
      <w:r>
        <w:rPr>
          <w:rFonts w:hint="eastAsia" w:eastAsia="宋体"/>
          <w:color w:val="auto"/>
        </w:rPr>
        <w:t>第</w:t>
      </w:r>
      <w:r>
        <w:rPr>
          <w:rFonts w:hint="eastAsia" w:eastAsia="宋体"/>
          <w:color w:val="auto"/>
          <w:lang w:val="en-US" w:eastAsia="zh-CN"/>
        </w:rPr>
        <w:t>一</w:t>
      </w:r>
      <w:r>
        <w:rPr>
          <w:rFonts w:hint="eastAsia" w:eastAsia="宋体"/>
          <w:color w:val="auto"/>
        </w:rPr>
        <w:t>章 项目要求</w:t>
      </w:r>
      <w:bookmarkEnd w:id="1"/>
      <w:bookmarkEnd w:id="2"/>
    </w:p>
    <w:p w14:paraId="16A2F20A">
      <w:pPr>
        <w:pStyle w:val="4"/>
        <w:rPr>
          <w:rFonts w:ascii="宋体" w:hAnsi="宋体" w:cs="宋体"/>
          <w:color w:val="000000"/>
        </w:rPr>
      </w:pPr>
      <w:r>
        <w:rPr>
          <w:rFonts w:hint="eastAsia" w:ascii="宋体" w:hAnsi="宋体" w:cs="宋体"/>
          <w:color w:val="000000"/>
        </w:rPr>
        <w:t>一、技术服务要求：</w:t>
      </w:r>
    </w:p>
    <w:p w14:paraId="32E0871E">
      <w:pPr>
        <w:spacing w:line="500" w:lineRule="exact"/>
      </w:pPr>
      <w:permStart w:id="3" w:edGrp="everyone"/>
      <w:bookmarkStart w:id="3" w:name="_Toc511899298"/>
      <w:bookmarkEnd w:id="3"/>
      <w:bookmarkStart w:id="4" w:name="_Toc21102"/>
      <w:r>
        <w:rPr>
          <w:rFonts w:hint="eastAsia"/>
        </w:rPr>
        <w:t>评级机构依据自身的评级程序和评级标准对公司信用状况进行评定，并依照相关法律法规和评级机构的信用评级结果报告与公示制度对信用评级结果进行公示、公告，信用评级结果包括但不限于评级对象的信用等级和信用评级报告。</w:t>
      </w:r>
    </w:p>
    <w:p w14:paraId="6AAC6802">
      <w:pPr>
        <w:pStyle w:val="4"/>
        <w:rPr>
          <w:rFonts w:ascii="宋体" w:hAnsi="宋体" w:cs="宋体"/>
          <w:color w:val="000000"/>
        </w:rPr>
      </w:pPr>
      <w:r>
        <w:rPr>
          <w:rFonts w:hint="eastAsia" w:ascii="宋体" w:hAnsi="宋体" w:cs="宋体"/>
          <w:color w:val="000000"/>
        </w:rPr>
        <w:t>二、商务要求</w:t>
      </w:r>
    </w:p>
    <w:p w14:paraId="731EF3F5">
      <w:pPr>
        <w:rPr>
          <w:rFonts w:ascii="宋体" w:hAnsi="宋体" w:cs="宋体"/>
          <w:color w:val="000000"/>
        </w:rPr>
      </w:pPr>
      <w:r>
        <w:rPr>
          <w:rFonts w:hint="eastAsia" w:ascii="宋体" w:hAnsi="宋体" w:cs="宋体"/>
          <w:color w:val="000000"/>
        </w:rPr>
        <w:t xml:space="preserve">          </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7AFA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581F90A">
            <w:pPr>
              <w:spacing w:line="500" w:lineRule="exact"/>
              <w:rPr>
                <w:rFonts w:ascii="宋体" w:hAnsi="宋体" w:cs="宋体"/>
                <w:b/>
                <w:bCs/>
                <w:color w:val="000000"/>
              </w:rPr>
            </w:pPr>
            <w:r>
              <w:rPr>
                <w:rFonts w:hint="eastAsia" w:ascii="宋体" w:hAnsi="宋体" w:cs="宋体"/>
                <w:b/>
                <w:bCs/>
                <w:color w:val="000000"/>
              </w:rPr>
              <w:t>序号</w:t>
            </w:r>
          </w:p>
        </w:tc>
        <w:tc>
          <w:tcPr>
            <w:tcW w:w="1286" w:type="dxa"/>
          </w:tcPr>
          <w:p w14:paraId="663BB1FF">
            <w:pPr>
              <w:spacing w:line="500" w:lineRule="exact"/>
              <w:rPr>
                <w:rFonts w:ascii="宋体" w:hAnsi="宋体" w:cs="宋体"/>
                <w:b/>
                <w:bCs/>
                <w:color w:val="000000"/>
              </w:rPr>
            </w:pPr>
            <w:r>
              <w:rPr>
                <w:rFonts w:hint="eastAsia" w:ascii="宋体" w:hAnsi="宋体" w:cs="宋体"/>
                <w:b/>
                <w:bCs/>
                <w:color w:val="000000"/>
              </w:rPr>
              <w:t>内容</w:t>
            </w:r>
          </w:p>
        </w:tc>
        <w:tc>
          <w:tcPr>
            <w:tcW w:w="6436" w:type="dxa"/>
          </w:tcPr>
          <w:p w14:paraId="1B287AC6">
            <w:pPr>
              <w:spacing w:line="500" w:lineRule="exact"/>
              <w:rPr>
                <w:rFonts w:ascii="宋体" w:hAnsi="宋体" w:cs="宋体"/>
                <w:b/>
                <w:bCs/>
                <w:color w:val="000000"/>
              </w:rPr>
            </w:pPr>
            <w:r>
              <w:rPr>
                <w:rFonts w:hint="eastAsia" w:ascii="宋体" w:hAnsi="宋体" w:cs="宋体"/>
                <w:b/>
                <w:bCs/>
                <w:color w:val="000000"/>
              </w:rPr>
              <w:t>要求</w:t>
            </w:r>
          </w:p>
        </w:tc>
      </w:tr>
      <w:tr w14:paraId="3D7C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Pr>
          <w:p w14:paraId="031ABEEB">
            <w:pPr>
              <w:spacing w:line="500" w:lineRule="exact"/>
              <w:rPr>
                <w:rFonts w:ascii="宋体" w:hAnsi="宋体" w:cs="宋体"/>
                <w:b/>
                <w:bCs/>
                <w:color w:val="000000"/>
              </w:rPr>
            </w:pPr>
            <w:r>
              <w:rPr>
                <w:rFonts w:hint="eastAsia" w:ascii="宋体" w:hAnsi="宋体" w:cs="宋体"/>
                <w:b/>
                <w:bCs/>
                <w:color w:val="000000"/>
              </w:rPr>
              <w:t>1</w:t>
            </w:r>
          </w:p>
        </w:tc>
        <w:tc>
          <w:tcPr>
            <w:tcW w:w="1286" w:type="dxa"/>
          </w:tcPr>
          <w:p w14:paraId="341ADE44">
            <w:pPr>
              <w:spacing w:line="500" w:lineRule="exact"/>
              <w:rPr>
                <w:rFonts w:ascii="宋体" w:hAnsi="宋体" w:cs="宋体"/>
                <w:b/>
                <w:bCs/>
                <w:color w:val="000000"/>
              </w:rPr>
            </w:pPr>
            <w:r>
              <w:rPr>
                <w:rFonts w:hint="eastAsia" w:ascii="宋体" w:hAnsi="宋体" w:cs="宋体"/>
                <w:b/>
                <w:bCs/>
                <w:color w:val="000000"/>
              </w:rPr>
              <w:t>工期要求</w:t>
            </w:r>
          </w:p>
        </w:tc>
        <w:tc>
          <w:tcPr>
            <w:tcW w:w="6436" w:type="dxa"/>
          </w:tcPr>
          <w:p w14:paraId="05CDA695">
            <w:pPr>
              <w:spacing w:line="500" w:lineRule="exact"/>
              <w:rPr>
                <w:rFonts w:ascii="宋体" w:hAnsi="宋体" w:cs="宋体"/>
                <w:b/>
                <w:bCs/>
                <w:color w:val="000000"/>
              </w:rPr>
            </w:pPr>
            <w:r>
              <w:rPr>
                <w:rFonts w:hint="eastAsia"/>
              </w:rPr>
              <w:t>自合同签订之日起60个工作日内完成。</w:t>
            </w:r>
          </w:p>
        </w:tc>
      </w:tr>
      <w:tr w14:paraId="69A9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73D3DD9">
            <w:pPr>
              <w:spacing w:line="500" w:lineRule="exact"/>
              <w:rPr>
                <w:rFonts w:ascii="宋体" w:hAnsi="宋体" w:cs="宋体"/>
                <w:b/>
                <w:bCs/>
                <w:color w:val="000000"/>
              </w:rPr>
            </w:pPr>
            <w:r>
              <w:rPr>
                <w:rFonts w:hint="eastAsia" w:ascii="宋体" w:hAnsi="宋体" w:cs="宋体"/>
                <w:b/>
                <w:bCs/>
                <w:color w:val="000000"/>
              </w:rPr>
              <w:t>2</w:t>
            </w:r>
          </w:p>
        </w:tc>
        <w:tc>
          <w:tcPr>
            <w:tcW w:w="1286" w:type="dxa"/>
          </w:tcPr>
          <w:p w14:paraId="337A97C8">
            <w:pPr>
              <w:spacing w:line="500" w:lineRule="exact"/>
              <w:rPr>
                <w:rFonts w:ascii="宋体" w:hAnsi="宋体" w:cs="宋体"/>
                <w:b/>
                <w:bCs/>
                <w:color w:val="000000"/>
              </w:rPr>
            </w:pPr>
            <w:r>
              <w:rPr>
                <w:rFonts w:hint="eastAsia" w:ascii="宋体" w:hAnsi="宋体" w:cs="宋体"/>
                <w:b/>
                <w:bCs/>
                <w:color w:val="000000"/>
              </w:rPr>
              <w:t>验收</w:t>
            </w:r>
          </w:p>
        </w:tc>
        <w:tc>
          <w:tcPr>
            <w:tcW w:w="6436" w:type="dxa"/>
          </w:tcPr>
          <w:p w14:paraId="011DA75B">
            <w:pPr>
              <w:spacing w:line="500" w:lineRule="exact"/>
              <w:rPr>
                <w:rFonts w:ascii="宋体" w:hAnsi="宋体" w:cs="宋体"/>
                <w:b/>
                <w:bCs/>
                <w:color w:val="000000"/>
              </w:rPr>
            </w:pPr>
            <w:r>
              <w:rPr>
                <w:rFonts w:hint="eastAsia"/>
              </w:rPr>
              <w:t xml:space="preserve">由采购人组织验收。                                   </w:t>
            </w:r>
          </w:p>
        </w:tc>
      </w:tr>
      <w:tr w14:paraId="47A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96B9D8E">
            <w:pPr>
              <w:spacing w:line="500" w:lineRule="exact"/>
              <w:rPr>
                <w:rFonts w:ascii="宋体" w:hAnsi="宋体" w:cs="宋体"/>
                <w:b/>
                <w:bCs/>
                <w:color w:val="000000"/>
              </w:rPr>
            </w:pPr>
            <w:r>
              <w:rPr>
                <w:rFonts w:hint="eastAsia" w:ascii="宋体" w:hAnsi="宋体" w:cs="宋体"/>
                <w:b/>
                <w:bCs/>
                <w:color w:val="000000"/>
              </w:rPr>
              <w:t>3</w:t>
            </w:r>
          </w:p>
        </w:tc>
        <w:tc>
          <w:tcPr>
            <w:tcW w:w="1286" w:type="dxa"/>
          </w:tcPr>
          <w:p w14:paraId="708831EA">
            <w:pPr>
              <w:spacing w:line="500" w:lineRule="exact"/>
              <w:rPr>
                <w:rFonts w:ascii="宋体" w:hAnsi="宋体" w:cs="宋体"/>
                <w:b/>
                <w:bCs/>
                <w:color w:val="000000"/>
              </w:rPr>
            </w:pPr>
            <w:r>
              <w:rPr>
                <w:rFonts w:hint="eastAsia" w:ascii="宋体" w:hAnsi="宋体" w:cs="宋体"/>
                <w:b/>
                <w:bCs/>
                <w:color w:val="000000"/>
              </w:rPr>
              <w:t>付款</w:t>
            </w:r>
          </w:p>
        </w:tc>
        <w:tc>
          <w:tcPr>
            <w:tcW w:w="6436" w:type="dxa"/>
          </w:tcPr>
          <w:p w14:paraId="33EFDC57">
            <w:pPr>
              <w:spacing w:line="500" w:lineRule="exact"/>
            </w:pPr>
            <w:r>
              <w:rPr>
                <w:rFonts w:hint="eastAsia" w:ascii="宋体" w:hAnsi="宋体" w:cs="宋体"/>
                <w:b/>
                <w:bCs/>
                <w:color w:val="000000"/>
              </w:rPr>
              <w:t xml:space="preserve"> </w:t>
            </w:r>
            <w:r>
              <w:rPr>
                <w:rFonts w:hint="eastAsia"/>
              </w:rPr>
              <w:t xml:space="preserve">付款人：宿州市银通资产经营投资有限责任公司        </w:t>
            </w:r>
          </w:p>
          <w:p w14:paraId="13E4B2AD">
            <w:pPr>
              <w:spacing w:line="500" w:lineRule="exact"/>
              <w:rPr>
                <w:rFonts w:ascii="宋体" w:hAnsi="宋体" w:cs="宋体"/>
                <w:b/>
                <w:bCs/>
                <w:color w:val="000000"/>
              </w:rPr>
            </w:pPr>
            <w:r>
              <w:rPr>
                <w:rFonts w:hint="eastAsia"/>
              </w:rPr>
              <w:t xml:space="preserve"> 付款方式：</w:t>
            </w:r>
            <w:r>
              <w:rPr>
                <w:rFonts w:hint="eastAsia"/>
                <w:lang w:val="en-US" w:eastAsia="zh-CN"/>
              </w:rPr>
              <w:t>按合同约定执行</w:t>
            </w:r>
            <w:r>
              <w:rPr>
                <w:rFonts w:hint="eastAsia"/>
              </w:rPr>
              <w:t xml:space="preserve">。  </w:t>
            </w:r>
            <w:r>
              <w:rPr>
                <w:rFonts w:hint="eastAsia" w:ascii="宋体" w:hAnsi="宋体" w:cs="宋体"/>
                <w:b/>
                <w:bCs/>
                <w:color w:val="000000"/>
              </w:rPr>
              <w:t xml:space="preserve">            </w:t>
            </w:r>
          </w:p>
        </w:tc>
      </w:tr>
    </w:tbl>
    <w:p w14:paraId="1312F41C">
      <w:pPr>
        <w:pStyle w:val="19"/>
        <w:ind w:left="0" w:leftChars="0" w:firstLine="0" w:firstLineChars="0"/>
        <w:rPr>
          <w:rFonts w:ascii="宋体" w:hAnsi="宋体" w:eastAsia="宋体" w:cs="宋体"/>
        </w:rPr>
      </w:pPr>
    </w:p>
    <w:p w14:paraId="592B94E3">
      <w:pPr>
        <w:pStyle w:val="33"/>
        <w:rPr>
          <w:rFonts w:eastAsia="宋体"/>
          <w:color w:val="auto"/>
        </w:rPr>
      </w:pPr>
      <w:r>
        <w:rPr>
          <w:rFonts w:hint="eastAsia" w:eastAsia="宋体"/>
          <w:color w:val="auto"/>
        </w:rPr>
        <w:t>第</w:t>
      </w:r>
      <w:r>
        <w:rPr>
          <w:rFonts w:hint="eastAsia" w:eastAsia="宋体"/>
          <w:color w:val="auto"/>
          <w:lang w:val="en-US" w:eastAsia="zh-CN"/>
        </w:rPr>
        <w:t>二</w:t>
      </w:r>
      <w:r>
        <w:rPr>
          <w:rFonts w:hint="eastAsia" w:eastAsia="宋体"/>
          <w:color w:val="auto"/>
        </w:rPr>
        <w:t>章 实质性响应审查</w:t>
      </w:r>
      <w:bookmarkEnd w:id="4"/>
    </w:p>
    <w:p w14:paraId="77FBA393">
      <w:pPr>
        <w:pStyle w:val="36"/>
        <w:rPr>
          <w:rFonts w:cs="宋体"/>
          <w:color w:val="auto"/>
          <w:sz w:val="30"/>
          <w:szCs w:val="30"/>
        </w:rPr>
      </w:pPr>
      <w:bookmarkStart w:id="5" w:name="_Toc511899301"/>
      <w:bookmarkEnd w:id="5"/>
      <w:bookmarkStart w:id="6" w:name="_Toc22847"/>
      <w:r>
        <w:rPr>
          <w:rFonts w:hint="eastAsia" w:cs="宋体"/>
          <w:color w:val="auto"/>
          <w:sz w:val="30"/>
          <w:szCs w:val="30"/>
        </w:rPr>
        <w:t>一、资格性审查表</w:t>
      </w:r>
      <w:bookmarkEnd w:id="6"/>
    </w:p>
    <w:tbl>
      <w:tblPr>
        <w:tblStyle w:val="20"/>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14:paraId="2D9D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14:paraId="0BBF39D0">
            <w:pPr>
              <w:adjustRightInd w:val="0"/>
              <w:snapToGrid w:val="0"/>
              <w:spacing w:line="360" w:lineRule="auto"/>
              <w:ind w:right="-10"/>
              <w:jc w:val="center"/>
              <w:rPr>
                <w:rFonts w:ascii="宋体" w:hAnsi="宋体" w:cs="宋体"/>
              </w:rPr>
            </w:pPr>
            <w:r>
              <w:rPr>
                <w:rFonts w:hint="eastAsia" w:ascii="宋体" w:hAnsi="宋体" w:cs="宋体"/>
              </w:rPr>
              <w:t>序号</w:t>
            </w:r>
          </w:p>
        </w:tc>
        <w:tc>
          <w:tcPr>
            <w:tcW w:w="2310" w:type="dxa"/>
            <w:tcBorders>
              <w:top w:val="single" w:color="auto" w:sz="4" w:space="0"/>
              <w:left w:val="nil"/>
              <w:bottom w:val="single" w:color="auto" w:sz="4" w:space="0"/>
              <w:right w:val="single" w:color="auto" w:sz="4" w:space="0"/>
            </w:tcBorders>
            <w:vAlign w:val="center"/>
          </w:tcPr>
          <w:p w14:paraId="42199A55">
            <w:pPr>
              <w:spacing w:after="50" w:line="360" w:lineRule="auto"/>
              <w:ind w:right="-10"/>
              <w:jc w:val="center"/>
              <w:rPr>
                <w:rFonts w:ascii="宋体" w:hAnsi="宋体" w:cs="宋体"/>
              </w:rPr>
            </w:pPr>
            <w:r>
              <w:rPr>
                <w:rFonts w:hint="eastAsia" w:ascii="宋体" w:hAnsi="宋体" w:cs="宋体"/>
              </w:rPr>
              <w:t>指标名称</w:t>
            </w:r>
          </w:p>
        </w:tc>
        <w:tc>
          <w:tcPr>
            <w:tcW w:w="3900" w:type="dxa"/>
            <w:tcBorders>
              <w:top w:val="single" w:color="auto" w:sz="4" w:space="0"/>
              <w:left w:val="nil"/>
              <w:bottom w:val="single" w:color="auto" w:sz="4" w:space="0"/>
              <w:right w:val="single" w:color="auto" w:sz="4" w:space="0"/>
            </w:tcBorders>
            <w:vAlign w:val="center"/>
          </w:tcPr>
          <w:p w14:paraId="6B428A70">
            <w:pPr>
              <w:adjustRightInd w:val="0"/>
              <w:snapToGrid w:val="0"/>
              <w:spacing w:line="360" w:lineRule="auto"/>
              <w:ind w:right="-10"/>
              <w:jc w:val="center"/>
              <w:rPr>
                <w:rFonts w:ascii="宋体" w:hAnsi="宋体" w:cs="宋体"/>
              </w:rPr>
            </w:pPr>
            <w:r>
              <w:rPr>
                <w:rFonts w:hint="eastAsia" w:ascii="宋体" w:hAnsi="宋体" w:cs="宋体"/>
              </w:rPr>
              <w:t>指标要求</w:t>
            </w:r>
          </w:p>
        </w:tc>
        <w:tc>
          <w:tcPr>
            <w:tcW w:w="2655" w:type="dxa"/>
            <w:tcBorders>
              <w:top w:val="single" w:color="auto" w:sz="4" w:space="0"/>
              <w:left w:val="nil"/>
              <w:bottom w:val="single" w:color="auto" w:sz="4" w:space="0"/>
              <w:right w:val="single" w:color="auto" w:sz="4" w:space="0"/>
            </w:tcBorders>
            <w:vAlign w:val="center"/>
          </w:tcPr>
          <w:p w14:paraId="72C5E98A">
            <w:pPr>
              <w:adjustRightInd w:val="0"/>
              <w:snapToGrid w:val="0"/>
              <w:spacing w:line="360" w:lineRule="auto"/>
              <w:ind w:right="-10"/>
              <w:jc w:val="center"/>
              <w:rPr>
                <w:rFonts w:ascii="宋体" w:hAnsi="宋体" w:cs="宋体"/>
              </w:rPr>
            </w:pPr>
            <w:r>
              <w:rPr>
                <w:rFonts w:hint="eastAsia" w:ascii="宋体" w:hAnsi="宋体" w:cs="宋体"/>
              </w:rPr>
              <w:t>备注</w:t>
            </w:r>
          </w:p>
        </w:tc>
      </w:tr>
      <w:tr w14:paraId="1005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14:paraId="04CFBBCF">
            <w:pPr>
              <w:adjustRightInd w:val="0"/>
              <w:snapToGrid w:val="0"/>
              <w:spacing w:line="360" w:lineRule="auto"/>
              <w:ind w:right="-10"/>
              <w:jc w:val="center"/>
              <w:rPr>
                <w:rFonts w:ascii="宋体" w:hAnsi="宋体" w:cs="宋体"/>
              </w:rPr>
            </w:pPr>
            <w:r>
              <w:rPr>
                <w:rFonts w:hint="eastAsia" w:ascii="宋体" w:hAnsi="宋体" w:cs="宋体"/>
              </w:rPr>
              <w:t>1</w:t>
            </w:r>
          </w:p>
        </w:tc>
        <w:tc>
          <w:tcPr>
            <w:tcW w:w="2310" w:type="dxa"/>
            <w:tcBorders>
              <w:top w:val="single" w:color="auto" w:sz="4" w:space="0"/>
              <w:left w:val="nil"/>
              <w:bottom w:val="single" w:color="auto" w:sz="4" w:space="0"/>
              <w:right w:val="single" w:color="auto" w:sz="4" w:space="0"/>
            </w:tcBorders>
            <w:vAlign w:val="center"/>
          </w:tcPr>
          <w:p w14:paraId="3064982B">
            <w:pPr>
              <w:spacing w:after="50" w:line="360" w:lineRule="auto"/>
              <w:ind w:right="-10"/>
              <w:jc w:val="center"/>
              <w:rPr>
                <w:rFonts w:ascii="宋体" w:hAnsi="宋体" w:cs="宋体"/>
              </w:rPr>
            </w:pPr>
            <w:r>
              <w:rPr>
                <w:rFonts w:hint="eastAsia" w:ascii="宋体" w:hAnsi="宋体" w:cs="宋体"/>
              </w:rPr>
              <w:t>营业执照</w:t>
            </w:r>
          </w:p>
        </w:tc>
        <w:tc>
          <w:tcPr>
            <w:tcW w:w="3900" w:type="dxa"/>
            <w:tcBorders>
              <w:top w:val="single" w:color="auto" w:sz="4" w:space="0"/>
              <w:left w:val="nil"/>
              <w:bottom w:val="single" w:color="auto" w:sz="4" w:space="0"/>
              <w:right w:val="single" w:color="auto" w:sz="4" w:space="0"/>
            </w:tcBorders>
            <w:vAlign w:val="center"/>
          </w:tcPr>
          <w:p w14:paraId="1E2E644B">
            <w:pPr>
              <w:spacing w:after="50" w:line="360" w:lineRule="auto"/>
              <w:ind w:right="-10"/>
              <w:jc w:val="center"/>
              <w:rPr>
                <w:rFonts w:ascii="宋体" w:hAnsi="宋体" w:cs="宋体"/>
              </w:rPr>
            </w:pPr>
            <w:r>
              <w:rPr>
                <w:rFonts w:hint="eastAsia" w:ascii="宋体" w:hAnsi="宋体" w:cs="宋体"/>
              </w:rPr>
              <w:t>企业营业执照合法有效</w:t>
            </w:r>
          </w:p>
        </w:tc>
        <w:tc>
          <w:tcPr>
            <w:tcW w:w="2655" w:type="dxa"/>
            <w:vMerge w:val="restart"/>
            <w:tcBorders>
              <w:left w:val="nil"/>
              <w:right w:val="single" w:color="auto" w:sz="4" w:space="0"/>
            </w:tcBorders>
            <w:vAlign w:val="center"/>
          </w:tcPr>
          <w:p w14:paraId="74CA4D56">
            <w:pPr>
              <w:adjustRightInd w:val="0"/>
              <w:snapToGrid w:val="0"/>
              <w:spacing w:line="360" w:lineRule="auto"/>
              <w:ind w:right="-10"/>
              <w:jc w:val="center"/>
              <w:rPr>
                <w:rFonts w:ascii="宋体" w:hAnsi="宋体" w:cs="宋体"/>
              </w:rPr>
            </w:pPr>
            <w:r>
              <w:rPr>
                <w:rFonts w:hint="eastAsia" w:ascii="宋体" w:hAnsi="宋体" w:cs="宋体"/>
              </w:rPr>
              <w:t>提供有效的营业执照和税务登记证的（接受合一的证书），应完整的体现出营业执照和税务登记证的全部内容。</w:t>
            </w:r>
          </w:p>
        </w:tc>
      </w:tr>
      <w:tr w14:paraId="5C7D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vAlign w:val="center"/>
          </w:tcPr>
          <w:p w14:paraId="4A09A8A1">
            <w:pPr>
              <w:adjustRightInd w:val="0"/>
              <w:snapToGrid w:val="0"/>
              <w:spacing w:line="360" w:lineRule="auto"/>
              <w:ind w:right="-10"/>
              <w:jc w:val="center"/>
              <w:rPr>
                <w:rFonts w:ascii="宋体" w:hAnsi="宋体" w:cs="宋体"/>
              </w:rPr>
            </w:pPr>
            <w:r>
              <w:rPr>
                <w:rFonts w:hint="eastAsia" w:ascii="宋体" w:hAnsi="宋体" w:cs="宋体"/>
              </w:rPr>
              <w:t>2</w:t>
            </w:r>
          </w:p>
        </w:tc>
        <w:tc>
          <w:tcPr>
            <w:tcW w:w="2310" w:type="dxa"/>
            <w:tcBorders>
              <w:top w:val="single" w:color="auto" w:sz="4" w:space="0"/>
              <w:left w:val="nil"/>
              <w:bottom w:val="single" w:color="auto" w:sz="4" w:space="0"/>
              <w:right w:val="single" w:color="auto" w:sz="4" w:space="0"/>
            </w:tcBorders>
            <w:vAlign w:val="center"/>
          </w:tcPr>
          <w:p w14:paraId="6F970266">
            <w:pPr>
              <w:spacing w:after="50" w:line="360" w:lineRule="auto"/>
              <w:ind w:right="-10"/>
              <w:jc w:val="center"/>
              <w:rPr>
                <w:rFonts w:ascii="宋体" w:hAnsi="宋体" w:cs="宋体"/>
              </w:rPr>
            </w:pPr>
            <w:r>
              <w:rPr>
                <w:rFonts w:hint="eastAsia" w:ascii="宋体" w:hAnsi="宋体" w:cs="宋体"/>
              </w:rPr>
              <w:t>税务登记证</w:t>
            </w:r>
          </w:p>
        </w:tc>
        <w:tc>
          <w:tcPr>
            <w:tcW w:w="3900" w:type="dxa"/>
            <w:tcBorders>
              <w:top w:val="single" w:color="auto" w:sz="4" w:space="0"/>
              <w:left w:val="nil"/>
              <w:bottom w:val="single" w:color="auto" w:sz="4" w:space="0"/>
              <w:right w:val="single" w:color="auto" w:sz="4" w:space="0"/>
            </w:tcBorders>
            <w:vAlign w:val="center"/>
          </w:tcPr>
          <w:p w14:paraId="0F440210">
            <w:pPr>
              <w:spacing w:after="50" w:line="360" w:lineRule="auto"/>
              <w:ind w:right="-10"/>
              <w:jc w:val="center"/>
              <w:rPr>
                <w:rFonts w:ascii="宋体" w:hAnsi="宋体" w:cs="宋体"/>
              </w:rPr>
            </w:pPr>
            <w:r>
              <w:rPr>
                <w:rFonts w:hint="eastAsia" w:ascii="宋体" w:hAnsi="宋体" w:cs="宋体"/>
              </w:rPr>
              <w:t>合法有效</w:t>
            </w:r>
          </w:p>
        </w:tc>
        <w:tc>
          <w:tcPr>
            <w:tcW w:w="2655" w:type="dxa"/>
            <w:vMerge w:val="continue"/>
            <w:tcBorders>
              <w:top w:val="nil"/>
              <w:left w:val="nil"/>
              <w:bottom w:val="single" w:color="auto" w:sz="4" w:space="0"/>
              <w:right w:val="single" w:color="auto" w:sz="4" w:space="0"/>
            </w:tcBorders>
            <w:vAlign w:val="center"/>
          </w:tcPr>
          <w:p w14:paraId="3F0FCECB">
            <w:pPr>
              <w:jc w:val="left"/>
              <w:rPr>
                <w:rFonts w:ascii="宋体" w:hAnsi="宋体" w:cs="宋体"/>
              </w:rPr>
            </w:pPr>
          </w:p>
        </w:tc>
      </w:tr>
      <w:tr w14:paraId="149F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45F44289">
            <w:pPr>
              <w:adjustRightInd w:val="0"/>
              <w:snapToGrid w:val="0"/>
              <w:spacing w:line="360" w:lineRule="auto"/>
              <w:ind w:right="-10"/>
              <w:jc w:val="center"/>
              <w:rPr>
                <w:rFonts w:ascii="宋体" w:hAnsi="宋体" w:cs="宋体"/>
              </w:rPr>
            </w:pPr>
            <w:r>
              <w:rPr>
                <w:rFonts w:hint="eastAsia" w:ascii="宋体" w:hAnsi="宋体" w:cs="宋体"/>
              </w:rPr>
              <w:t>3</w:t>
            </w:r>
          </w:p>
        </w:tc>
        <w:tc>
          <w:tcPr>
            <w:tcW w:w="2310" w:type="dxa"/>
            <w:tcBorders>
              <w:top w:val="single" w:color="auto" w:sz="4" w:space="0"/>
              <w:left w:val="nil"/>
              <w:bottom w:val="single" w:color="auto" w:sz="4" w:space="0"/>
              <w:right w:val="single" w:color="auto" w:sz="4" w:space="0"/>
            </w:tcBorders>
            <w:vAlign w:val="center"/>
          </w:tcPr>
          <w:p w14:paraId="46A95FE1">
            <w:pPr>
              <w:spacing w:line="360" w:lineRule="auto"/>
              <w:ind w:right="-10"/>
              <w:jc w:val="center"/>
              <w:rPr>
                <w:rFonts w:ascii="宋体" w:hAnsi="宋体" w:cs="宋体"/>
              </w:rPr>
            </w:pPr>
            <w:r>
              <w:rPr>
                <w:rFonts w:hint="eastAsia" w:ascii="宋体" w:hAnsi="宋体" w:cs="宋体"/>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14:paraId="6AD019F8">
            <w:pPr>
              <w:spacing w:line="400" w:lineRule="exact"/>
              <w:ind w:right="-11"/>
              <w:jc w:val="center"/>
              <w:rPr>
                <w:rFonts w:ascii="宋体" w:hAnsi="宋体" w:cs="宋体"/>
              </w:rPr>
            </w:pPr>
            <w:r>
              <w:rPr>
                <w:rFonts w:hint="eastAsia" w:ascii="宋体" w:hAnsi="宋体" w:cs="宋体"/>
              </w:rPr>
              <w:t>参加采购活动前3年内在经营活动中没有重大违法记录或因违法经营被禁止在一定期限内参加政府采购活动但期限已届满的书面声明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14:paraId="4C813A20">
            <w:pPr>
              <w:adjustRightInd w:val="0"/>
              <w:snapToGrid w:val="0"/>
              <w:spacing w:line="360" w:lineRule="auto"/>
              <w:ind w:right="-10"/>
              <w:jc w:val="center"/>
              <w:rPr>
                <w:rFonts w:ascii="宋体" w:hAnsi="宋体" w:cs="宋体"/>
              </w:rPr>
            </w:pPr>
            <w:r>
              <w:rPr>
                <w:rFonts w:hint="eastAsia" w:ascii="宋体" w:hAnsi="宋体" w:cs="宋体"/>
              </w:rPr>
              <w:t>供应商自行出具</w:t>
            </w:r>
          </w:p>
        </w:tc>
      </w:tr>
      <w:tr w14:paraId="7E90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4FC990D5">
            <w:pPr>
              <w:adjustRightInd w:val="0"/>
              <w:snapToGrid w:val="0"/>
              <w:spacing w:line="360" w:lineRule="auto"/>
              <w:ind w:right="-10"/>
              <w:jc w:val="center"/>
              <w:rPr>
                <w:rFonts w:ascii="宋体" w:hAnsi="宋体" w:cs="宋体"/>
              </w:rPr>
            </w:pPr>
            <w:r>
              <w:rPr>
                <w:rFonts w:hint="eastAsia" w:ascii="宋体" w:hAnsi="宋体" w:cs="宋体"/>
              </w:rPr>
              <w:t>4</w:t>
            </w:r>
          </w:p>
        </w:tc>
        <w:tc>
          <w:tcPr>
            <w:tcW w:w="2310" w:type="dxa"/>
            <w:tcBorders>
              <w:top w:val="single" w:color="auto" w:sz="4" w:space="0"/>
              <w:left w:val="nil"/>
              <w:bottom w:val="single" w:color="auto" w:sz="4" w:space="0"/>
              <w:right w:val="single" w:color="auto" w:sz="4" w:space="0"/>
            </w:tcBorders>
            <w:vAlign w:val="center"/>
          </w:tcPr>
          <w:p w14:paraId="02C60DE1">
            <w:pPr>
              <w:spacing w:line="360" w:lineRule="auto"/>
              <w:ind w:right="-10"/>
              <w:jc w:val="center"/>
              <w:rPr>
                <w:rFonts w:ascii="宋体" w:hAnsi="宋体" w:cs="宋体"/>
              </w:rPr>
            </w:pPr>
            <w:r>
              <w:rPr>
                <w:rFonts w:hint="eastAsia" w:ascii="宋体" w:hAnsi="宋体" w:cs="宋体"/>
              </w:rPr>
              <w:t>不良行为记录</w:t>
            </w:r>
          </w:p>
        </w:tc>
        <w:tc>
          <w:tcPr>
            <w:tcW w:w="3900" w:type="dxa"/>
            <w:tcBorders>
              <w:top w:val="single" w:color="auto" w:sz="4" w:space="0"/>
              <w:left w:val="nil"/>
              <w:bottom w:val="single" w:color="auto" w:sz="4" w:space="0"/>
              <w:right w:val="single" w:color="auto" w:sz="4" w:space="0"/>
            </w:tcBorders>
            <w:vAlign w:val="center"/>
          </w:tcPr>
          <w:p w14:paraId="030F23B2">
            <w:pPr>
              <w:spacing w:line="400" w:lineRule="exact"/>
              <w:ind w:right="-11"/>
              <w:jc w:val="center"/>
              <w:rPr>
                <w:rFonts w:ascii="宋体" w:hAnsi="宋体" w:cs="宋体"/>
              </w:rPr>
            </w:pPr>
            <w:r>
              <w:rPr>
                <w:rFonts w:hint="eastAsia" w:ascii="宋体" w:hAnsi="宋体" w:cs="宋体"/>
              </w:rPr>
              <w:t>符合比选公告第二、3.条的要求</w:t>
            </w:r>
          </w:p>
        </w:tc>
        <w:tc>
          <w:tcPr>
            <w:tcW w:w="2655" w:type="dxa"/>
            <w:tcBorders>
              <w:top w:val="single" w:color="auto" w:sz="4" w:space="0"/>
              <w:left w:val="nil"/>
              <w:bottom w:val="single" w:color="auto" w:sz="4" w:space="0"/>
              <w:right w:val="single" w:color="auto" w:sz="4" w:space="0"/>
            </w:tcBorders>
            <w:vAlign w:val="center"/>
          </w:tcPr>
          <w:p w14:paraId="76D9048F">
            <w:pPr>
              <w:adjustRightInd w:val="0"/>
              <w:snapToGrid w:val="0"/>
              <w:spacing w:line="360" w:lineRule="auto"/>
              <w:ind w:right="-10"/>
              <w:jc w:val="center"/>
              <w:rPr>
                <w:rFonts w:ascii="宋体" w:hAnsi="宋体" w:cs="宋体"/>
              </w:rPr>
            </w:pPr>
            <w:r>
              <w:rPr>
                <w:rFonts w:hint="eastAsia" w:ascii="宋体" w:hAnsi="宋体" w:cs="宋体"/>
              </w:rPr>
              <w:t>登</w:t>
            </w:r>
            <w:r>
              <w:rPr>
                <w:rFonts w:hint="eastAsia" w:ascii="宋体" w:hAnsi="宋体" w:cs="宋体"/>
                <w:lang w:val="en-US" w:eastAsia="zh-CN"/>
              </w:rPr>
              <w:t>录</w:t>
            </w:r>
            <w:r>
              <w:rPr>
                <w:rFonts w:hint="eastAsia" w:ascii="宋体" w:hAnsi="宋体" w:cs="宋体"/>
              </w:rPr>
              <w:t>该款载明的网站查询</w:t>
            </w:r>
          </w:p>
        </w:tc>
      </w:tr>
      <w:tr w14:paraId="1A38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vAlign w:val="center"/>
          </w:tcPr>
          <w:p w14:paraId="137501A0">
            <w:pPr>
              <w:adjustRightInd w:val="0"/>
              <w:snapToGrid w:val="0"/>
              <w:spacing w:line="360" w:lineRule="auto"/>
              <w:ind w:right="-10"/>
              <w:jc w:val="center"/>
              <w:rPr>
                <w:rFonts w:ascii="宋体" w:hAnsi="宋体" w:cs="宋体"/>
              </w:rPr>
            </w:pPr>
            <w:r>
              <w:rPr>
                <w:rFonts w:hint="eastAsia" w:ascii="宋体" w:hAnsi="宋体" w:cs="宋体"/>
              </w:rPr>
              <w:t>5</w:t>
            </w:r>
          </w:p>
        </w:tc>
        <w:tc>
          <w:tcPr>
            <w:tcW w:w="2310" w:type="dxa"/>
            <w:tcBorders>
              <w:top w:val="single" w:color="auto" w:sz="4" w:space="0"/>
              <w:left w:val="nil"/>
              <w:bottom w:val="single" w:color="auto" w:sz="4" w:space="0"/>
              <w:right w:val="single" w:color="auto" w:sz="4" w:space="0"/>
            </w:tcBorders>
            <w:vAlign w:val="center"/>
          </w:tcPr>
          <w:p w14:paraId="0ACC08CE">
            <w:pPr>
              <w:spacing w:after="50" w:line="360" w:lineRule="auto"/>
              <w:ind w:right="-10"/>
              <w:jc w:val="center"/>
              <w:rPr>
                <w:rFonts w:ascii="宋体" w:hAnsi="宋体" w:cs="宋体"/>
              </w:rPr>
            </w:pPr>
            <w:r>
              <w:rPr>
                <w:rFonts w:hint="eastAsia" w:ascii="宋体" w:hAnsi="宋体" w:cs="宋体"/>
              </w:rPr>
              <w:t>比选响应函</w:t>
            </w:r>
          </w:p>
        </w:tc>
        <w:tc>
          <w:tcPr>
            <w:tcW w:w="3900" w:type="dxa"/>
            <w:tcBorders>
              <w:top w:val="single" w:color="auto" w:sz="4" w:space="0"/>
              <w:left w:val="nil"/>
              <w:bottom w:val="single" w:color="auto" w:sz="4" w:space="0"/>
              <w:right w:val="single" w:color="auto" w:sz="4" w:space="0"/>
            </w:tcBorders>
            <w:vAlign w:val="center"/>
          </w:tcPr>
          <w:p w14:paraId="507A8AB8">
            <w:pPr>
              <w:spacing w:after="50" w:line="360" w:lineRule="auto"/>
              <w:ind w:right="-10"/>
              <w:jc w:val="center"/>
              <w:rPr>
                <w:rFonts w:ascii="宋体" w:hAnsi="宋体" w:cs="宋体"/>
              </w:rPr>
            </w:pPr>
            <w:r>
              <w:rPr>
                <w:rFonts w:hint="eastAsia" w:ascii="宋体" w:hAnsi="宋体" w:cs="宋体"/>
              </w:rPr>
              <w:t>格式自拟</w:t>
            </w:r>
          </w:p>
        </w:tc>
        <w:tc>
          <w:tcPr>
            <w:tcW w:w="2655" w:type="dxa"/>
            <w:tcBorders>
              <w:top w:val="single" w:color="auto" w:sz="4" w:space="0"/>
              <w:left w:val="nil"/>
              <w:bottom w:val="single" w:color="auto" w:sz="4" w:space="0"/>
              <w:right w:val="single" w:color="auto" w:sz="4" w:space="0"/>
            </w:tcBorders>
            <w:vAlign w:val="center"/>
          </w:tcPr>
          <w:p w14:paraId="0828A46A">
            <w:pPr>
              <w:adjustRightInd w:val="0"/>
              <w:snapToGrid w:val="0"/>
              <w:spacing w:line="360" w:lineRule="auto"/>
              <w:ind w:right="-10"/>
              <w:jc w:val="left"/>
              <w:rPr>
                <w:rFonts w:ascii="宋体" w:hAnsi="宋体" w:cs="宋体"/>
              </w:rPr>
            </w:pPr>
            <w:r>
              <w:rPr>
                <w:rFonts w:hint="eastAsia" w:ascii="宋体" w:hAnsi="宋体" w:cs="宋体"/>
              </w:rPr>
              <w:t xml:space="preserve">   </w:t>
            </w:r>
          </w:p>
        </w:tc>
      </w:tr>
      <w:tr w14:paraId="4AB0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vAlign w:val="center"/>
          </w:tcPr>
          <w:p w14:paraId="7A58BB91">
            <w:pPr>
              <w:adjustRightInd w:val="0"/>
              <w:snapToGrid w:val="0"/>
              <w:spacing w:line="360" w:lineRule="auto"/>
              <w:ind w:right="-10"/>
              <w:jc w:val="center"/>
              <w:rPr>
                <w:rFonts w:ascii="宋体" w:hAnsi="宋体" w:cs="宋体"/>
              </w:rPr>
            </w:pPr>
            <w:r>
              <w:rPr>
                <w:rFonts w:hint="eastAsia" w:ascii="宋体" w:hAnsi="宋体" w:cs="宋体"/>
              </w:rPr>
              <w:t>6</w:t>
            </w:r>
          </w:p>
        </w:tc>
        <w:tc>
          <w:tcPr>
            <w:tcW w:w="2310" w:type="dxa"/>
            <w:tcBorders>
              <w:top w:val="single" w:color="auto" w:sz="4" w:space="0"/>
              <w:left w:val="nil"/>
              <w:bottom w:val="single" w:color="auto" w:sz="4" w:space="0"/>
              <w:right w:val="single" w:color="auto" w:sz="4" w:space="0"/>
            </w:tcBorders>
            <w:vAlign w:val="center"/>
          </w:tcPr>
          <w:p w14:paraId="392097D2">
            <w:pPr>
              <w:spacing w:after="50" w:line="360" w:lineRule="auto"/>
              <w:ind w:right="-10"/>
              <w:jc w:val="center"/>
              <w:rPr>
                <w:rFonts w:ascii="宋体" w:hAnsi="宋体" w:cs="宋体"/>
              </w:rPr>
            </w:pPr>
            <w:r>
              <w:rPr>
                <w:rFonts w:hint="eastAsia" w:ascii="宋体" w:hAnsi="宋体" w:cs="宋体"/>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14:paraId="326D2DBB">
            <w:pPr>
              <w:spacing w:after="50" w:line="360" w:lineRule="auto"/>
              <w:ind w:right="-10"/>
              <w:jc w:val="center"/>
              <w:rPr>
                <w:rFonts w:ascii="宋体" w:hAnsi="宋体" w:cs="宋体"/>
              </w:rPr>
            </w:pPr>
            <w:r>
              <w:rPr>
                <w:rFonts w:hint="eastAsia" w:ascii="宋体" w:hAnsi="宋体" w:cs="宋体"/>
              </w:rPr>
              <w:t>符合比选文件要求</w:t>
            </w:r>
          </w:p>
        </w:tc>
        <w:tc>
          <w:tcPr>
            <w:tcW w:w="2655" w:type="dxa"/>
            <w:tcBorders>
              <w:top w:val="single" w:color="auto" w:sz="4" w:space="0"/>
              <w:left w:val="nil"/>
              <w:bottom w:val="single" w:color="auto" w:sz="4" w:space="0"/>
              <w:right w:val="single" w:color="auto" w:sz="4" w:space="0"/>
            </w:tcBorders>
            <w:vAlign w:val="center"/>
          </w:tcPr>
          <w:p w14:paraId="21801BA1">
            <w:pPr>
              <w:adjustRightInd w:val="0"/>
              <w:snapToGrid w:val="0"/>
              <w:spacing w:line="360" w:lineRule="auto"/>
              <w:ind w:right="-10"/>
              <w:jc w:val="center"/>
              <w:rPr>
                <w:rFonts w:ascii="宋体" w:hAnsi="宋体" w:cs="宋体"/>
              </w:rPr>
            </w:pPr>
            <w:r>
              <w:rPr>
                <w:rFonts w:hint="eastAsia" w:ascii="宋体" w:hAnsi="宋体" w:cs="宋体"/>
              </w:rPr>
              <w:t>法人代表参加比选的无需授权委托书，提供身份证明书即可</w:t>
            </w:r>
          </w:p>
        </w:tc>
      </w:tr>
    </w:tbl>
    <w:p w14:paraId="762666DD">
      <w:pPr>
        <w:rPr>
          <w:rFonts w:ascii="宋体" w:hAnsi="宋体" w:cs="宋体"/>
        </w:rPr>
      </w:pPr>
      <w:r>
        <w:rPr>
          <w:rFonts w:hint="eastAsia" w:ascii="宋体" w:hAnsi="宋体" w:cs="宋体"/>
        </w:rPr>
        <w:t xml:space="preserve">  </w:t>
      </w:r>
    </w:p>
    <w:p w14:paraId="79BD06CF">
      <w:pPr>
        <w:pStyle w:val="34"/>
        <w:ind w:firstLine="0" w:firstLineChars="0"/>
        <w:rPr>
          <w:rFonts w:cs="宋体"/>
          <w:color w:val="auto"/>
        </w:rPr>
      </w:pPr>
      <w:r>
        <w:rPr>
          <w:rFonts w:hint="eastAsia" w:ascii="宋体" w:hAnsi="宋体" w:cs="宋体"/>
        </w:rPr>
        <w:t xml:space="preserve">     </w:t>
      </w:r>
      <w:bookmarkStart w:id="7" w:name="_Toc511899302"/>
      <w:bookmarkEnd w:id="7"/>
      <w:bookmarkStart w:id="8" w:name="_Toc28756"/>
    </w:p>
    <w:p w14:paraId="63BB3679">
      <w:pPr>
        <w:pStyle w:val="36"/>
        <w:rPr>
          <w:rFonts w:cs="宋体"/>
          <w:color w:val="auto"/>
        </w:rPr>
      </w:pPr>
      <w:r>
        <w:rPr>
          <w:rFonts w:hint="eastAsia" w:cs="宋体"/>
          <w:color w:val="auto"/>
        </w:rPr>
        <w:t>二、符合性审查表</w:t>
      </w:r>
      <w:bookmarkEnd w:id="8"/>
    </w:p>
    <w:tbl>
      <w:tblPr>
        <w:tblStyle w:val="20"/>
        <w:tblW w:w="8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14:paraId="5ACC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vAlign w:val="center"/>
          </w:tcPr>
          <w:p w14:paraId="2025A2CA">
            <w:pPr>
              <w:adjustRightInd w:val="0"/>
              <w:snapToGrid w:val="0"/>
              <w:spacing w:line="360" w:lineRule="auto"/>
              <w:ind w:right="-11"/>
              <w:jc w:val="center"/>
              <w:rPr>
                <w:rFonts w:ascii="宋体" w:hAnsi="宋体" w:cs="宋体"/>
              </w:rPr>
            </w:pPr>
            <w:r>
              <w:rPr>
                <w:rFonts w:hint="eastAsia" w:ascii="宋体" w:hAnsi="宋体" w:cs="宋体"/>
              </w:rPr>
              <w:t>序号</w:t>
            </w:r>
          </w:p>
        </w:tc>
        <w:tc>
          <w:tcPr>
            <w:tcW w:w="2514" w:type="dxa"/>
            <w:tcBorders>
              <w:top w:val="single" w:color="auto" w:sz="4" w:space="0"/>
              <w:left w:val="nil"/>
              <w:bottom w:val="single" w:color="auto" w:sz="4" w:space="0"/>
              <w:right w:val="single" w:color="auto" w:sz="4" w:space="0"/>
            </w:tcBorders>
            <w:vAlign w:val="center"/>
          </w:tcPr>
          <w:p w14:paraId="5EE2E943">
            <w:pPr>
              <w:adjustRightInd w:val="0"/>
              <w:snapToGrid w:val="0"/>
              <w:spacing w:line="360" w:lineRule="auto"/>
              <w:ind w:right="-11"/>
              <w:jc w:val="center"/>
              <w:rPr>
                <w:rFonts w:ascii="宋体" w:hAnsi="宋体" w:cs="宋体"/>
              </w:rPr>
            </w:pPr>
            <w:r>
              <w:rPr>
                <w:rFonts w:hint="eastAsia" w:ascii="宋体" w:hAnsi="宋体" w:cs="宋体"/>
              </w:rPr>
              <w:t>指标名称</w:t>
            </w:r>
          </w:p>
        </w:tc>
        <w:tc>
          <w:tcPr>
            <w:tcW w:w="3990" w:type="dxa"/>
            <w:tcBorders>
              <w:top w:val="single" w:color="auto" w:sz="4" w:space="0"/>
              <w:left w:val="single" w:color="auto" w:sz="4" w:space="0"/>
              <w:bottom w:val="single" w:color="auto" w:sz="4" w:space="0"/>
              <w:right w:val="single" w:color="auto" w:sz="4" w:space="0"/>
            </w:tcBorders>
            <w:vAlign w:val="center"/>
          </w:tcPr>
          <w:p w14:paraId="421B8CED">
            <w:pPr>
              <w:adjustRightInd w:val="0"/>
              <w:snapToGrid w:val="0"/>
              <w:spacing w:line="360" w:lineRule="auto"/>
              <w:ind w:right="-11"/>
              <w:jc w:val="center"/>
              <w:rPr>
                <w:rFonts w:ascii="宋体" w:hAnsi="宋体" w:cs="宋体"/>
              </w:rPr>
            </w:pPr>
            <w:r>
              <w:rPr>
                <w:rFonts w:hint="eastAsia" w:ascii="宋体" w:hAnsi="宋体" w:cs="宋体"/>
              </w:rPr>
              <w:t>指标要求</w:t>
            </w:r>
          </w:p>
        </w:tc>
        <w:tc>
          <w:tcPr>
            <w:tcW w:w="1530" w:type="dxa"/>
            <w:tcBorders>
              <w:top w:val="single" w:color="auto" w:sz="4" w:space="0"/>
              <w:left w:val="nil"/>
              <w:bottom w:val="single" w:color="auto" w:sz="4" w:space="0"/>
              <w:right w:val="single" w:color="auto" w:sz="4" w:space="0"/>
            </w:tcBorders>
            <w:vAlign w:val="center"/>
          </w:tcPr>
          <w:p w14:paraId="35FA34EB">
            <w:pPr>
              <w:adjustRightInd w:val="0"/>
              <w:snapToGrid w:val="0"/>
              <w:spacing w:line="360" w:lineRule="auto"/>
              <w:ind w:right="-11"/>
              <w:jc w:val="center"/>
              <w:rPr>
                <w:rFonts w:ascii="宋体" w:hAnsi="宋体" w:cs="宋体"/>
              </w:rPr>
            </w:pPr>
            <w:r>
              <w:rPr>
                <w:rFonts w:hint="eastAsia" w:ascii="宋体" w:hAnsi="宋体" w:cs="宋体"/>
              </w:rPr>
              <w:t>备注</w:t>
            </w:r>
          </w:p>
        </w:tc>
      </w:tr>
      <w:tr w14:paraId="670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vAlign w:val="center"/>
          </w:tcPr>
          <w:p w14:paraId="01B483A4">
            <w:pPr>
              <w:adjustRightInd w:val="0"/>
              <w:snapToGrid w:val="0"/>
              <w:spacing w:line="360" w:lineRule="auto"/>
              <w:ind w:right="-11"/>
              <w:jc w:val="center"/>
              <w:rPr>
                <w:rFonts w:ascii="宋体" w:hAnsi="宋体" w:cs="宋体"/>
              </w:rPr>
            </w:pPr>
            <w:r>
              <w:rPr>
                <w:rFonts w:hint="eastAsia" w:ascii="宋体" w:hAnsi="宋体" w:cs="宋体"/>
              </w:rPr>
              <w:t>1</w:t>
            </w:r>
          </w:p>
        </w:tc>
        <w:tc>
          <w:tcPr>
            <w:tcW w:w="2514" w:type="dxa"/>
            <w:tcBorders>
              <w:top w:val="single" w:color="auto" w:sz="4" w:space="0"/>
              <w:left w:val="nil"/>
              <w:bottom w:val="single" w:color="auto" w:sz="4" w:space="0"/>
              <w:right w:val="single" w:color="auto" w:sz="4" w:space="0"/>
            </w:tcBorders>
            <w:vAlign w:val="center"/>
          </w:tcPr>
          <w:p w14:paraId="052ADFB5">
            <w:pPr>
              <w:spacing w:line="360" w:lineRule="auto"/>
              <w:ind w:right="-11"/>
              <w:jc w:val="center"/>
              <w:rPr>
                <w:rFonts w:ascii="宋体" w:hAnsi="宋体" w:cs="宋体"/>
              </w:rPr>
            </w:pPr>
            <w:r>
              <w:rPr>
                <w:rFonts w:hint="eastAsia" w:ascii="宋体" w:hAnsi="宋体" w:cs="宋体"/>
              </w:rPr>
              <w:t>商务要求响应情况</w:t>
            </w:r>
          </w:p>
        </w:tc>
        <w:tc>
          <w:tcPr>
            <w:tcW w:w="3990" w:type="dxa"/>
            <w:tcBorders>
              <w:top w:val="single" w:color="auto" w:sz="4" w:space="0"/>
              <w:left w:val="single" w:color="auto" w:sz="4" w:space="0"/>
              <w:bottom w:val="single" w:color="auto" w:sz="4" w:space="0"/>
              <w:right w:val="single" w:color="auto" w:sz="4" w:space="0"/>
            </w:tcBorders>
            <w:vAlign w:val="center"/>
          </w:tcPr>
          <w:p w14:paraId="58D4CDEA">
            <w:pPr>
              <w:spacing w:line="360" w:lineRule="auto"/>
              <w:ind w:right="-11"/>
              <w:jc w:val="center"/>
              <w:rPr>
                <w:rFonts w:ascii="宋体" w:hAnsi="宋体" w:cs="宋体"/>
              </w:rPr>
            </w:pPr>
            <w:r>
              <w:rPr>
                <w:rFonts w:hint="eastAsia" w:ascii="宋体" w:hAnsi="宋体" w:cs="宋体"/>
              </w:rPr>
              <w:t>符合比选文件第一章第 二项要求</w:t>
            </w:r>
          </w:p>
        </w:tc>
        <w:tc>
          <w:tcPr>
            <w:tcW w:w="1530" w:type="dxa"/>
            <w:tcBorders>
              <w:top w:val="single" w:color="auto" w:sz="4" w:space="0"/>
              <w:left w:val="nil"/>
              <w:bottom w:val="single" w:color="auto" w:sz="4" w:space="0"/>
              <w:right w:val="single" w:color="auto" w:sz="4" w:space="0"/>
            </w:tcBorders>
            <w:vAlign w:val="center"/>
          </w:tcPr>
          <w:p w14:paraId="76EC6C74">
            <w:pPr>
              <w:adjustRightInd w:val="0"/>
              <w:snapToGrid w:val="0"/>
              <w:spacing w:line="360" w:lineRule="auto"/>
              <w:ind w:right="-11"/>
              <w:jc w:val="center"/>
              <w:rPr>
                <w:rFonts w:ascii="宋体" w:hAnsi="宋体" w:cs="宋体"/>
              </w:rPr>
            </w:pPr>
          </w:p>
        </w:tc>
      </w:tr>
      <w:tr w14:paraId="2C30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vAlign w:val="center"/>
          </w:tcPr>
          <w:p w14:paraId="72E4D790">
            <w:pPr>
              <w:adjustRightInd w:val="0"/>
              <w:snapToGrid w:val="0"/>
              <w:spacing w:line="360" w:lineRule="auto"/>
              <w:ind w:right="-10"/>
              <w:jc w:val="center"/>
              <w:rPr>
                <w:rFonts w:ascii="宋体" w:hAnsi="宋体" w:cs="宋体"/>
              </w:rPr>
            </w:pPr>
            <w:r>
              <w:rPr>
                <w:rFonts w:hint="eastAsia" w:ascii="宋体" w:hAnsi="宋体" w:cs="宋体"/>
              </w:rPr>
              <w:t>2</w:t>
            </w:r>
          </w:p>
        </w:tc>
        <w:tc>
          <w:tcPr>
            <w:tcW w:w="2514" w:type="dxa"/>
            <w:tcBorders>
              <w:top w:val="single" w:color="auto" w:sz="4" w:space="0"/>
              <w:left w:val="nil"/>
              <w:bottom w:val="single" w:color="auto" w:sz="4" w:space="0"/>
              <w:right w:val="single" w:color="auto" w:sz="4" w:space="0"/>
            </w:tcBorders>
            <w:vAlign w:val="center"/>
          </w:tcPr>
          <w:p w14:paraId="502EAC4B">
            <w:pPr>
              <w:spacing w:line="360" w:lineRule="auto"/>
              <w:ind w:right="-10"/>
              <w:jc w:val="center"/>
              <w:rPr>
                <w:rFonts w:ascii="宋体" w:hAnsi="宋体" w:cs="宋体"/>
              </w:rPr>
            </w:pPr>
            <w:r>
              <w:rPr>
                <w:rFonts w:hint="eastAsia" w:ascii="宋体" w:hAnsi="宋体" w:cs="宋体"/>
              </w:rPr>
              <w:t>比选文件规范性</w:t>
            </w:r>
          </w:p>
        </w:tc>
        <w:tc>
          <w:tcPr>
            <w:tcW w:w="3990" w:type="dxa"/>
            <w:tcBorders>
              <w:top w:val="single" w:color="auto" w:sz="4" w:space="0"/>
              <w:left w:val="single" w:color="auto" w:sz="4" w:space="0"/>
              <w:bottom w:val="single" w:color="auto" w:sz="4" w:space="0"/>
              <w:right w:val="single" w:color="auto" w:sz="4" w:space="0"/>
            </w:tcBorders>
            <w:vAlign w:val="center"/>
          </w:tcPr>
          <w:p w14:paraId="29949230">
            <w:pPr>
              <w:ind w:right="-11"/>
              <w:jc w:val="center"/>
              <w:rPr>
                <w:rFonts w:ascii="宋体" w:hAnsi="宋体" w:cs="宋体"/>
              </w:rPr>
            </w:pPr>
            <w:r>
              <w:rPr>
                <w:rFonts w:hint="eastAsia" w:ascii="宋体" w:hAnsi="宋体" w:cs="宋体"/>
              </w:rPr>
              <w:t>符合比选文件要求（按照规定的要求进行编制、标记和签署）</w:t>
            </w:r>
          </w:p>
        </w:tc>
        <w:tc>
          <w:tcPr>
            <w:tcW w:w="1530" w:type="dxa"/>
            <w:tcBorders>
              <w:top w:val="single" w:color="auto" w:sz="4" w:space="0"/>
              <w:left w:val="nil"/>
              <w:bottom w:val="single" w:color="auto" w:sz="4" w:space="0"/>
              <w:right w:val="single" w:color="auto" w:sz="4" w:space="0"/>
            </w:tcBorders>
            <w:vAlign w:val="center"/>
          </w:tcPr>
          <w:p w14:paraId="43B90637">
            <w:pPr>
              <w:spacing w:line="360" w:lineRule="auto"/>
              <w:ind w:right="-10"/>
              <w:jc w:val="center"/>
              <w:rPr>
                <w:rFonts w:ascii="宋体" w:hAnsi="宋体" w:cs="宋体"/>
                <w:b/>
                <w:bCs/>
              </w:rPr>
            </w:pPr>
          </w:p>
        </w:tc>
      </w:tr>
    </w:tbl>
    <w:p w14:paraId="0804253C">
      <w:pPr>
        <w:pStyle w:val="33"/>
        <w:jc w:val="both"/>
        <w:rPr>
          <w:rFonts w:eastAsia="宋体"/>
          <w:color w:val="auto"/>
          <w:highlight w:val="yellow"/>
        </w:rPr>
      </w:pPr>
      <w:bookmarkStart w:id="9" w:name="_Toc511899303"/>
      <w:bookmarkEnd w:id="9"/>
    </w:p>
    <w:permEnd w:id="3"/>
    <w:p w14:paraId="7B31B510">
      <w:pPr>
        <w:kinsoku/>
        <w:spacing w:before="108" w:line="218" w:lineRule="auto"/>
        <w:jc w:val="center"/>
        <w:outlineLvl w:val="0"/>
        <w:rPr>
          <w:rFonts w:ascii="宋体" w:hAnsi="宋体" w:eastAsia="宋体" w:cs="宋体"/>
          <w:b/>
          <w:bCs/>
          <w:color w:val="auto"/>
          <w:sz w:val="32"/>
          <w:szCs w:val="32"/>
          <w:highlight w:val="none"/>
        </w:rPr>
      </w:pPr>
      <w:bookmarkStart w:id="10" w:name="_Toc19021"/>
    </w:p>
    <w:p w14:paraId="2392D6AE">
      <w:pPr>
        <w:kinsoku/>
        <w:spacing w:before="108" w:line="218" w:lineRule="auto"/>
        <w:jc w:val="center"/>
        <w:outlineLvl w:val="0"/>
        <w:rPr>
          <w:rFonts w:ascii="宋体" w:hAnsi="宋体" w:eastAsia="宋体" w:cs="宋体"/>
          <w:b/>
          <w:bCs/>
          <w:color w:val="auto"/>
          <w:sz w:val="32"/>
          <w:szCs w:val="32"/>
          <w:highlight w:val="none"/>
        </w:rPr>
      </w:pPr>
    </w:p>
    <w:p w14:paraId="5856B02F">
      <w:pPr>
        <w:kinsoku/>
        <w:spacing w:before="108" w:line="218" w:lineRule="auto"/>
        <w:jc w:val="center"/>
        <w:outlineLvl w:val="0"/>
        <w:rPr>
          <w:rFonts w:ascii="宋体" w:hAnsi="宋体" w:eastAsia="宋体" w:cs="宋体"/>
          <w:b/>
          <w:bCs/>
          <w:color w:val="auto"/>
          <w:sz w:val="32"/>
          <w:szCs w:val="32"/>
          <w:highlight w:val="none"/>
        </w:rPr>
      </w:pPr>
    </w:p>
    <w:p w14:paraId="2AE36BFA">
      <w:pPr>
        <w:kinsoku/>
        <w:spacing w:before="108" w:line="218" w:lineRule="auto"/>
        <w:jc w:val="center"/>
        <w:outlineLvl w:val="0"/>
        <w:rPr>
          <w:rFonts w:ascii="宋体" w:hAnsi="宋体" w:eastAsia="宋体" w:cs="宋体"/>
          <w:b/>
          <w:bCs/>
          <w:color w:val="auto"/>
          <w:sz w:val="32"/>
          <w:szCs w:val="32"/>
          <w:highlight w:val="none"/>
        </w:rPr>
      </w:pPr>
    </w:p>
    <w:p w14:paraId="52F27573">
      <w:pPr>
        <w:kinsoku/>
        <w:spacing w:before="108" w:line="218" w:lineRule="auto"/>
        <w:jc w:val="center"/>
        <w:outlineLvl w:val="0"/>
        <w:rPr>
          <w:rFonts w:ascii="宋体" w:hAnsi="宋体" w:eastAsia="宋体" w:cs="宋体"/>
          <w:b/>
          <w:bCs/>
          <w:color w:val="auto"/>
          <w:sz w:val="32"/>
          <w:szCs w:val="32"/>
          <w:highlight w:val="none"/>
        </w:rPr>
      </w:pPr>
    </w:p>
    <w:p w14:paraId="5B3E00BF">
      <w:pPr>
        <w:kinsoku/>
        <w:spacing w:before="108" w:line="218" w:lineRule="auto"/>
        <w:jc w:val="center"/>
        <w:outlineLvl w:val="0"/>
        <w:rPr>
          <w:rFonts w:ascii="宋体" w:hAnsi="宋体" w:eastAsia="宋体" w:cs="宋体"/>
          <w:b/>
          <w:bCs/>
          <w:color w:val="auto"/>
          <w:sz w:val="32"/>
          <w:szCs w:val="32"/>
          <w:highlight w:val="none"/>
        </w:rPr>
      </w:pPr>
    </w:p>
    <w:p w14:paraId="69ACE5C5">
      <w:pPr>
        <w:kinsoku/>
        <w:spacing w:before="108" w:line="218" w:lineRule="auto"/>
        <w:jc w:val="center"/>
        <w:outlineLvl w:val="0"/>
        <w:rPr>
          <w:rFonts w:ascii="宋体" w:hAnsi="宋体" w:eastAsia="宋体" w:cs="宋体"/>
          <w:b/>
          <w:bCs/>
          <w:color w:val="auto"/>
          <w:sz w:val="32"/>
          <w:szCs w:val="32"/>
          <w:highlight w:val="none"/>
        </w:rPr>
      </w:pPr>
    </w:p>
    <w:p w14:paraId="590B7046">
      <w:pPr>
        <w:kinsoku/>
        <w:spacing w:before="108" w:line="218" w:lineRule="auto"/>
        <w:jc w:val="both"/>
        <w:outlineLvl w:val="0"/>
        <w:rPr>
          <w:rFonts w:ascii="宋体" w:hAnsi="宋体" w:eastAsia="宋体" w:cs="宋体"/>
          <w:b/>
          <w:bCs/>
          <w:color w:val="auto"/>
          <w:sz w:val="32"/>
          <w:szCs w:val="32"/>
          <w:highlight w:val="none"/>
        </w:rPr>
      </w:pPr>
    </w:p>
    <w:p w14:paraId="70A3E39A">
      <w:pPr>
        <w:kinsoku/>
        <w:spacing w:before="108" w:line="218" w:lineRule="auto"/>
        <w:jc w:val="center"/>
        <w:outlineLvl w:val="0"/>
        <w:rPr>
          <w:color w:val="auto"/>
          <w:highlight w:val="none"/>
        </w:rPr>
      </w:pPr>
      <w:r>
        <w:rPr>
          <w:rFonts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三</w:t>
      </w:r>
      <w:r>
        <w:rPr>
          <w:rFonts w:ascii="宋体" w:hAnsi="宋体" w:eastAsia="宋体" w:cs="宋体"/>
          <w:b/>
          <w:bCs/>
          <w:color w:val="auto"/>
          <w:sz w:val="32"/>
          <w:szCs w:val="32"/>
          <w:highlight w:val="none"/>
        </w:rPr>
        <w:t>章</w:t>
      </w:r>
      <w:r>
        <w:rPr>
          <w:rFonts w:hint="eastAsia" w:ascii="宋体" w:hAnsi="宋体" w:eastAsia="宋体" w:cs="宋体"/>
          <w:b/>
          <w:bCs/>
          <w:color w:val="auto"/>
          <w:sz w:val="32"/>
          <w:szCs w:val="32"/>
          <w:highlight w:val="none"/>
          <w:lang w:eastAsia="zh-CN"/>
        </w:rPr>
        <w:t xml:space="preserve"> </w:t>
      </w:r>
      <w:r>
        <w:rPr>
          <w:rFonts w:ascii="宋体" w:hAnsi="宋体" w:eastAsia="宋体" w:cs="宋体"/>
          <w:b/>
          <w:bCs/>
          <w:color w:val="auto"/>
          <w:sz w:val="32"/>
          <w:szCs w:val="32"/>
          <w:highlight w:val="none"/>
        </w:rPr>
        <w:t>评分办法</w:t>
      </w:r>
    </w:p>
    <w:tbl>
      <w:tblPr>
        <w:tblStyle w:val="69"/>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074"/>
        <w:gridCol w:w="1408"/>
        <w:gridCol w:w="5723"/>
        <w:gridCol w:w="844"/>
      </w:tblGrid>
      <w:tr w14:paraId="20AA9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5" w:hRule="atLeast"/>
          <w:jc w:val="center"/>
        </w:trPr>
        <w:tc>
          <w:tcPr>
            <w:tcW w:w="1074" w:type="dxa"/>
            <w:vAlign w:val="center"/>
          </w:tcPr>
          <w:p w14:paraId="0FBF9BFB">
            <w:pPr>
              <w:pStyle w:val="71"/>
              <w:kinsoku/>
              <w:autoSpaceDE w:val="0"/>
              <w:autoSpaceDN w:val="0"/>
              <w:spacing w:line="220" w:lineRule="auto"/>
              <w:jc w:val="center"/>
              <w:rPr>
                <w:color w:val="auto"/>
                <w:sz w:val="22"/>
                <w:szCs w:val="22"/>
                <w:highlight w:val="none"/>
              </w:rPr>
            </w:pPr>
            <w:r>
              <w:rPr>
                <w:color w:val="auto"/>
                <w:sz w:val="22"/>
                <w:szCs w:val="22"/>
                <w:highlight w:val="none"/>
              </w:rPr>
              <w:t>评审项目</w:t>
            </w:r>
          </w:p>
        </w:tc>
        <w:tc>
          <w:tcPr>
            <w:tcW w:w="1408" w:type="dxa"/>
            <w:vAlign w:val="center"/>
          </w:tcPr>
          <w:p w14:paraId="468E4EC6">
            <w:pPr>
              <w:pStyle w:val="71"/>
              <w:kinsoku/>
              <w:autoSpaceDE w:val="0"/>
              <w:autoSpaceDN w:val="0"/>
              <w:spacing w:line="219" w:lineRule="auto"/>
              <w:jc w:val="center"/>
              <w:rPr>
                <w:color w:val="auto"/>
                <w:sz w:val="22"/>
                <w:szCs w:val="22"/>
                <w:highlight w:val="none"/>
              </w:rPr>
            </w:pPr>
            <w:r>
              <w:rPr>
                <w:color w:val="auto"/>
                <w:sz w:val="22"/>
                <w:szCs w:val="22"/>
                <w:highlight w:val="none"/>
              </w:rPr>
              <w:t>分值</w:t>
            </w:r>
          </w:p>
        </w:tc>
        <w:tc>
          <w:tcPr>
            <w:tcW w:w="5723" w:type="dxa"/>
          </w:tcPr>
          <w:p w14:paraId="0854FDDC">
            <w:pPr>
              <w:pStyle w:val="71"/>
              <w:kinsoku/>
              <w:autoSpaceDE w:val="0"/>
              <w:autoSpaceDN w:val="0"/>
              <w:spacing w:before="214" w:line="219" w:lineRule="auto"/>
              <w:ind w:left="2082"/>
              <w:rPr>
                <w:color w:val="auto"/>
                <w:sz w:val="22"/>
                <w:szCs w:val="22"/>
                <w:highlight w:val="none"/>
              </w:rPr>
            </w:pPr>
            <w:r>
              <w:rPr>
                <w:color w:val="auto"/>
                <w:sz w:val="22"/>
                <w:szCs w:val="22"/>
                <w:highlight w:val="none"/>
              </w:rPr>
              <w:t>评审内容及标准</w:t>
            </w:r>
          </w:p>
        </w:tc>
        <w:tc>
          <w:tcPr>
            <w:tcW w:w="844" w:type="dxa"/>
          </w:tcPr>
          <w:p w14:paraId="03E6C75F">
            <w:pPr>
              <w:pStyle w:val="71"/>
              <w:kinsoku/>
              <w:autoSpaceDE w:val="0"/>
              <w:autoSpaceDN w:val="0"/>
              <w:spacing w:before="215" w:line="221" w:lineRule="auto"/>
              <w:ind w:left="230"/>
              <w:rPr>
                <w:color w:val="auto"/>
                <w:sz w:val="22"/>
                <w:szCs w:val="22"/>
                <w:highlight w:val="none"/>
              </w:rPr>
            </w:pPr>
            <w:r>
              <w:rPr>
                <w:color w:val="auto"/>
                <w:sz w:val="22"/>
                <w:szCs w:val="22"/>
                <w:highlight w:val="none"/>
              </w:rPr>
              <w:t>备注</w:t>
            </w:r>
          </w:p>
        </w:tc>
      </w:tr>
      <w:tr w14:paraId="5C51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157" w:hRule="atLeast"/>
          <w:jc w:val="center"/>
        </w:trPr>
        <w:tc>
          <w:tcPr>
            <w:tcW w:w="1074" w:type="dxa"/>
            <w:vMerge w:val="restart"/>
            <w:tcBorders>
              <w:bottom w:val="nil"/>
            </w:tcBorders>
            <w:vAlign w:val="center"/>
          </w:tcPr>
          <w:p w14:paraId="484FB091">
            <w:pPr>
              <w:pStyle w:val="71"/>
              <w:kinsoku/>
              <w:autoSpaceDE w:val="0"/>
              <w:autoSpaceDN w:val="0"/>
              <w:spacing w:line="407" w:lineRule="auto"/>
              <w:ind w:right="160"/>
              <w:jc w:val="center"/>
              <w:rPr>
                <w:color w:val="auto"/>
                <w:sz w:val="22"/>
                <w:szCs w:val="22"/>
                <w:highlight w:val="none"/>
              </w:rPr>
            </w:pPr>
            <w:r>
              <w:rPr>
                <w:color w:val="auto"/>
                <w:sz w:val="22"/>
                <w:szCs w:val="22"/>
                <w:highlight w:val="none"/>
              </w:rPr>
              <w:t>技术分(</w:t>
            </w:r>
            <w:r>
              <w:rPr>
                <w:rFonts w:hint="eastAsia"/>
                <w:color w:val="auto"/>
                <w:sz w:val="22"/>
                <w:szCs w:val="22"/>
                <w:highlight w:val="none"/>
                <w:lang w:val="en-US" w:eastAsia="zh-CN"/>
              </w:rPr>
              <w:t>90</w:t>
            </w:r>
            <w:r>
              <w:rPr>
                <w:color w:val="auto"/>
                <w:sz w:val="22"/>
                <w:szCs w:val="22"/>
                <w:highlight w:val="none"/>
              </w:rPr>
              <w:t>分)</w:t>
            </w:r>
          </w:p>
        </w:tc>
        <w:tc>
          <w:tcPr>
            <w:tcW w:w="1408" w:type="dxa"/>
            <w:vAlign w:val="center"/>
          </w:tcPr>
          <w:p w14:paraId="670C2908">
            <w:pPr>
              <w:pStyle w:val="71"/>
              <w:kinsoku/>
              <w:autoSpaceDE w:val="0"/>
              <w:autoSpaceDN w:val="0"/>
              <w:spacing w:line="407" w:lineRule="auto"/>
              <w:ind w:right="86" w:firstLine="90"/>
              <w:jc w:val="center"/>
              <w:rPr>
                <w:color w:val="auto"/>
                <w:sz w:val="22"/>
                <w:szCs w:val="22"/>
                <w:highlight w:val="none"/>
              </w:rPr>
            </w:pPr>
            <w:r>
              <w:rPr>
                <w:color w:val="auto"/>
                <w:sz w:val="22"/>
                <w:szCs w:val="22"/>
                <w:highlight w:val="none"/>
              </w:rPr>
              <w:t>技术服务水平(</w:t>
            </w:r>
            <w:r>
              <w:rPr>
                <w:rFonts w:hint="eastAsia"/>
                <w:color w:val="auto"/>
                <w:sz w:val="22"/>
                <w:szCs w:val="22"/>
                <w:highlight w:val="none"/>
                <w:lang w:val="en-US" w:eastAsia="zh-CN"/>
              </w:rPr>
              <w:t>50</w:t>
            </w:r>
            <w:r>
              <w:rPr>
                <w:color w:val="auto"/>
                <w:sz w:val="22"/>
                <w:szCs w:val="22"/>
                <w:highlight w:val="none"/>
              </w:rPr>
              <w:t>分)</w:t>
            </w:r>
          </w:p>
        </w:tc>
        <w:tc>
          <w:tcPr>
            <w:tcW w:w="5723" w:type="dxa"/>
            <w:vAlign w:val="center"/>
          </w:tcPr>
          <w:p w14:paraId="51F10E51">
            <w:pPr>
              <w:pStyle w:val="71"/>
              <w:kinsoku/>
              <w:autoSpaceDE w:val="0"/>
              <w:autoSpaceDN w:val="0"/>
              <w:spacing w:line="360" w:lineRule="auto"/>
              <w:jc w:val="both"/>
              <w:rPr>
                <w:color w:val="auto"/>
                <w:sz w:val="22"/>
                <w:szCs w:val="22"/>
                <w:highlight w:val="none"/>
                <w:lang w:eastAsia="zh-CN"/>
              </w:rPr>
            </w:pPr>
            <w:r>
              <w:rPr>
                <w:color w:val="auto"/>
                <w:sz w:val="22"/>
                <w:szCs w:val="22"/>
                <w:highlight w:val="none"/>
                <w:lang w:eastAsia="zh-CN"/>
              </w:rPr>
              <w:t>1、供应商总体思路和技术文件基本可行性，为保证成果文件的质量、进度的措施，评标委员会进行综合评审：优秀得1</w:t>
            </w:r>
            <w:r>
              <w:rPr>
                <w:rFonts w:hint="eastAsia"/>
                <w:color w:val="auto"/>
                <w:sz w:val="22"/>
                <w:szCs w:val="22"/>
                <w:highlight w:val="none"/>
                <w:lang w:val="en-US" w:eastAsia="zh-CN"/>
              </w:rPr>
              <w:t>0</w:t>
            </w:r>
            <w:r>
              <w:rPr>
                <w:color w:val="auto"/>
                <w:sz w:val="22"/>
                <w:szCs w:val="22"/>
                <w:highlight w:val="none"/>
                <w:lang w:eastAsia="zh-CN"/>
              </w:rPr>
              <w:t>分，良好得</w:t>
            </w:r>
            <w:r>
              <w:rPr>
                <w:rFonts w:hint="eastAsia"/>
                <w:color w:val="auto"/>
                <w:sz w:val="22"/>
                <w:szCs w:val="22"/>
                <w:highlight w:val="none"/>
                <w:lang w:val="en-US" w:eastAsia="zh-CN"/>
              </w:rPr>
              <w:t>7</w:t>
            </w:r>
            <w:r>
              <w:rPr>
                <w:color w:val="auto"/>
                <w:sz w:val="22"/>
                <w:szCs w:val="22"/>
                <w:highlight w:val="none"/>
                <w:lang w:eastAsia="zh-CN"/>
              </w:rPr>
              <w:t>分，一般得5分，没有此项得0分。</w:t>
            </w:r>
          </w:p>
          <w:p w14:paraId="38B9D93A">
            <w:pPr>
              <w:pStyle w:val="71"/>
              <w:kinsoku/>
              <w:autoSpaceDE w:val="0"/>
              <w:autoSpaceDN w:val="0"/>
              <w:spacing w:line="360" w:lineRule="auto"/>
              <w:jc w:val="both"/>
              <w:rPr>
                <w:color w:val="auto"/>
                <w:sz w:val="22"/>
                <w:szCs w:val="22"/>
                <w:highlight w:val="none"/>
                <w:lang w:eastAsia="zh-CN"/>
              </w:rPr>
            </w:pPr>
            <w:r>
              <w:rPr>
                <w:color w:val="auto"/>
                <w:sz w:val="22"/>
                <w:szCs w:val="22"/>
                <w:highlight w:val="none"/>
                <w:lang w:eastAsia="zh-CN"/>
              </w:rPr>
              <w:t>2、对现状情况调查详实，对存在的问题分析到位，提出的策略科学得当，对未来发展趋势有较好的判断和应对，对近期存在的问题采取的措施安排切实可行，评标委员会进行综合评审：优秀得</w:t>
            </w:r>
            <w:r>
              <w:rPr>
                <w:rFonts w:hint="eastAsia"/>
                <w:color w:val="auto"/>
                <w:sz w:val="22"/>
                <w:szCs w:val="22"/>
                <w:highlight w:val="none"/>
                <w:lang w:val="en-US" w:eastAsia="zh-CN"/>
              </w:rPr>
              <w:t>10分</w:t>
            </w:r>
            <w:r>
              <w:rPr>
                <w:color w:val="auto"/>
                <w:sz w:val="22"/>
                <w:szCs w:val="22"/>
                <w:highlight w:val="none"/>
                <w:lang w:eastAsia="zh-CN"/>
              </w:rPr>
              <w:t>，良好得</w:t>
            </w:r>
            <w:r>
              <w:rPr>
                <w:rFonts w:hint="eastAsia"/>
                <w:color w:val="auto"/>
                <w:sz w:val="22"/>
                <w:szCs w:val="22"/>
                <w:highlight w:val="none"/>
                <w:lang w:val="en-US" w:eastAsia="zh-CN"/>
              </w:rPr>
              <w:t>7分</w:t>
            </w:r>
            <w:r>
              <w:rPr>
                <w:color w:val="auto"/>
                <w:sz w:val="22"/>
                <w:szCs w:val="22"/>
                <w:highlight w:val="none"/>
                <w:lang w:eastAsia="zh-CN"/>
              </w:rPr>
              <w:t>，一般得5分，没有此项得0分。</w:t>
            </w:r>
          </w:p>
          <w:p w14:paraId="2B7EC61B">
            <w:pPr>
              <w:pStyle w:val="71"/>
              <w:kinsoku/>
              <w:autoSpaceDE w:val="0"/>
              <w:autoSpaceDN w:val="0"/>
              <w:spacing w:line="360" w:lineRule="auto"/>
              <w:jc w:val="both"/>
              <w:rPr>
                <w:color w:val="auto"/>
                <w:sz w:val="22"/>
                <w:szCs w:val="22"/>
                <w:highlight w:val="none"/>
                <w:lang w:eastAsia="zh-CN"/>
              </w:rPr>
            </w:pPr>
            <w:r>
              <w:rPr>
                <w:color w:val="auto"/>
                <w:sz w:val="22"/>
                <w:szCs w:val="22"/>
                <w:highlight w:val="none"/>
                <w:lang w:eastAsia="zh-CN"/>
              </w:rPr>
              <w:t>3、针对本次评级任务提出基本思路，分析到位、条理清晰，评标委员会进行综合评审：优秀得</w:t>
            </w:r>
            <w:r>
              <w:rPr>
                <w:rFonts w:hint="eastAsia"/>
                <w:color w:val="auto"/>
                <w:sz w:val="22"/>
                <w:szCs w:val="22"/>
                <w:highlight w:val="none"/>
                <w:lang w:val="en-US" w:eastAsia="zh-CN"/>
              </w:rPr>
              <w:t>10分</w:t>
            </w:r>
            <w:r>
              <w:rPr>
                <w:color w:val="auto"/>
                <w:sz w:val="22"/>
                <w:szCs w:val="22"/>
                <w:highlight w:val="none"/>
                <w:lang w:eastAsia="zh-CN"/>
              </w:rPr>
              <w:t>，良好得</w:t>
            </w:r>
            <w:r>
              <w:rPr>
                <w:rFonts w:hint="eastAsia"/>
                <w:color w:val="auto"/>
                <w:sz w:val="22"/>
                <w:szCs w:val="22"/>
                <w:highlight w:val="none"/>
                <w:lang w:val="en-US" w:eastAsia="zh-CN"/>
              </w:rPr>
              <w:t>7分</w:t>
            </w:r>
            <w:r>
              <w:rPr>
                <w:color w:val="auto"/>
                <w:sz w:val="22"/>
                <w:szCs w:val="22"/>
                <w:highlight w:val="none"/>
                <w:lang w:eastAsia="zh-CN"/>
              </w:rPr>
              <w:t>，一般得5分，没有此项得0分。</w:t>
            </w:r>
          </w:p>
          <w:p w14:paraId="1E9FE2B4">
            <w:pPr>
              <w:pStyle w:val="71"/>
              <w:kinsoku/>
              <w:autoSpaceDE w:val="0"/>
              <w:autoSpaceDN w:val="0"/>
              <w:spacing w:line="360" w:lineRule="auto"/>
              <w:jc w:val="both"/>
              <w:rPr>
                <w:color w:val="auto"/>
                <w:sz w:val="22"/>
                <w:szCs w:val="22"/>
                <w:highlight w:val="none"/>
                <w:lang w:eastAsia="zh-CN"/>
              </w:rPr>
            </w:pPr>
            <w:r>
              <w:rPr>
                <w:color w:val="auto"/>
                <w:sz w:val="22"/>
                <w:szCs w:val="22"/>
                <w:highlight w:val="none"/>
                <w:lang w:eastAsia="zh-CN"/>
              </w:rPr>
              <w:t>4、采取正确的技术路线，措施得当、技术可行、成本控制合理，评标委员会进行综合评审：优秀得</w:t>
            </w:r>
            <w:r>
              <w:rPr>
                <w:rFonts w:hint="eastAsia"/>
                <w:color w:val="auto"/>
                <w:sz w:val="22"/>
                <w:szCs w:val="22"/>
                <w:highlight w:val="none"/>
                <w:lang w:val="en-US" w:eastAsia="zh-CN"/>
              </w:rPr>
              <w:t>10分</w:t>
            </w:r>
            <w:r>
              <w:rPr>
                <w:color w:val="auto"/>
                <w:sz w:val="22"/>
                <w:szCs w:val="22"/>
                <w:highlight w:val="none"/>
                <w:lang w:eastAsia="zh-CN"/>
              </w:rPr>
              <w:t>，良好得</w:t>
            </w:r>
            <w:r>
              <w:rPr>
                <w:rFonts w:hint="eastAsia"/>
                <w:color w:val="auto"/>
                <w:sz w:val="22"/>
                <w:szCs w:val="22"/>
                <w:highlight w:val="none"/>
                <w:lang w:val="en-US" w:eastAsia="zh-CN"/>
              </w:rPr>
              <w:t>7分</w:t>
            </w:r>
            <w:r>
              <w:rPr>
                <w:color w:val="auto"/>
                <w:sz w:val="22"/>
                <w:szCs w:val="22"/>
                <w:highlight w:val="none"/>
                <w:lang w:eastAsia="zh-CN"/>
              </w:rPr>
              <w:t>，一般得5分，没有此项得0分。</w:t>
            </w:r>
          </w:p>
          <w:p w14:paraId="249AC744">
            <w:pPr>
              <w:pStyle w:val="71"/>
              <w:kinsoku/>
              <w:autoSpaceDE w:val="0"/>
              <w:autoSpaceDN w:val="0"/>
              <w:spacing w:line="360" w:lineRule="auto"/>
              <w:jc w:val="both"/>
              <w:rPr>
                <w:color w:val="auto"/>
                <w:sz w:val="22"/>
                <w:szCs w:val="22"/>
                <w:highlight w:val="none"/>
                <w:lang w:eastAsia="zh-CN"/>
              </w:rPr>
            </w:pPr>
            <w:r>
              <w:rPr>
                <w:color w:val="auto"/>
                <w:sz w:val="22"/>
                <w:szCs w:val="22"/>
                <w:highlight w:val="none"/>
                <w:lang w:eastAsia="zh-CN"/>
              </w:rPr>
              <w:t>5、内容框架层次分明，重点明确，内容完整，符合比选文件和国家有关规范要求，评标委员会进行综合评审：优秀得</w:t>
            </w:r>
            <w:r>
              <w:rPr>
                <w:rFonts w:hint="eastAsia"/>
                <w:color w:val="auto"/>
                <w:sz w:val="22"/>
                <w:szCs w:val="22"/>
                <w:highlight w:val="none"/>
                <w:lang w:val="en-US" w:eastAsia="zh-CN"/>
              </w:rPr>
              <w:t>10分</w:t>
            </w:r>
            <w:r>
              <w:rPr>
                <w:color w:val="auto"/>
                <w:sz w:val="22"/>
                <w:szCs w:val="22"/>
                <w:highlight w:val="none"/>
                <w:lang w:eastAsia="zh-CN"/>
              </w:rPr>
              <w:t>，良好得</w:t>
            </w:r>
            <w:r>
              <w:rPr>
                <w:rFonts w:hint="eastAsia"/>
                <w:color w:val="auto"/>
                <w:sz w:val="22"/>
                <w:szCs w:val="22"/>
                <w:highlight w:val="none"/>
                <w:lang w:val="en-US" w:eastAsia="zh-CN"/>
              </w:rPr>
              <w:t>7分</w:t>
            </w:r>
            <w:r>
              <w:rPr>
                <w:color w:val="auto"/>
                <w:sz w:val="22"/>
                <w:szCs w:val="22"/>
                <w:highlight w:val="none"/>
                <w:lang w:eastAsia="zh-CN"/>
              </w:rPr>
              <w:t>，一般得5分，没有此项得0分。</w:t>
            </w:r>
          </w:p>
        </w:tc>
        <w:tc>
          <w:tcPr>
            <w:tcW w:w="844" w:type="dxa"/>
          </w:tcPr>
          <w:p w14:paraId="2A330B76">
            <w:pPr>
              <w:kinsoku/>
              <w:autoSpaceDE w:val="0"/>
              <w:autoSpaceDN w:val="0"/>
              <w:rPr>
                <w:color w:val="auto"/>
                <w:highlight w:val="none"/>
                <w:lang w:eastAsia="zh-CN"/>
              </w:rPr>
            </w:pPr>
          </w:p>
        </w:tc>
      </w:tr>
      <w:tr w14:paraId="17319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9" w:hRule="atLeast"/>
          <w:jc w:val="center"/>
        </w:trPr>
        <w:tc>
          <w:tcPr>
            <w:tcW w:w="1074" w:type="dxa"/>
            <w:vMerge w:val="continue"/>
            <w:tcBorders>
              <w:top w:val="nil"/>
            </w:tcBorders>
            <w:vAlign w:val="center"/>
          </w:tcPr>
          <w:p w14:paraId="71545D2A">
            <w:pPr>
              <w:kinsoku/>
              <w:autoSpaceDE w:val="0"/>
              <w:autoSpaceDN w:val="0"/>
              <w:jc w:val="center"/>
              <w:rPr>
                <w:color w:val="auto"/>
                <w:highlight w:val="none"/>
                <w:lang w:eastAsia="zh-CN"/>
              </w:rPr>
            </w:pPr>
          </w:p>
        </w:tc>
        <w:tc>
          <w:tcPr>
            <w:tcW w:w="1408" w:type="dxa"/>
            <w:vAlign w:val="center"/>
          </w:tcPr>
          <w:p w14:paraId="79D7F577">
            <w:pPr>
              <w:pStyle w:val="71"/>
              <w:kinsoku/>
              <w:autoSpaceDE w:val="0"/>
              <w:autoSpaceDN w:val="0"/>
              <w:spacing w:line="416" w:lineRule="auto"/>
              <w:ind w:right="168" w:hanging="9"/>
              <w:jc w:val="center"/>
              <w:rPr>
                <w:rFonts w:hint="eastAsia"/>
                <w:color w:val="auto"/>
                <w:sz w:val="22"/>
                <w:szCs w:val="22"/>
                <w:highlight w:val="none"/>
                <w:lang w:eastAsia="zh-CN"/>
              </w:rPr>
            </w:pPr>
            <w:r>
              <w:rPr>
                <w:rFonts w:hint="eastAsia"/>
                <w:color w:val="auto"/>
                <w:sz w:val="22"/>
                <w:szCs w:val="22"/>
                <w:highlight w:val="none"/>
                <w:lang w:val="en-US" w:eastAsia="zh-CN"/>
              </w:rPr>
              <w:t>履约能力</w:t>
            </w:r>
          </w:p>
          <w:p w14:paraId="35AC036D">
            <w:pPr>
              <w:pStyle w:val="71"/>
              <w:kinsoku/>
              <w:autoSpaceDE w:val="0"/>
              <w:autoSpaceDN w:val="0"/>
              <w:spacing w:line="416" w:lineRule="auto"/>
              <w:ind w:right="168" w:hanging="9"/>
              <w:jc w:val="center"/>
              <w:rPr>
                <w:color w:val="auto"/>
                <w:sz w:val="22"/>
                <w:szCs w:val="22"/>
                <w:highlight w:val="none"/>
                <w:lang w:eastAsia="zh-CN"/>
              </w:rPr>
            </w:pPr>
            <w:r>
              <w:rPr>
                <w:color w:val="auto"/>
                <w:sz w:val="22"/>
                <w:szCs w:val="22"/>
                <w:highlight w:val="none"/>
                <w:lang w:eastAsia="zh-CN"/>
              </w:rPr>
              <w:t>(</w:t>
            </w:r>
            <w:r>
              <w:rPr>
                <w:rFonts w:hint="eastAsia"/>
                <w:color w:val="auto"/>
                <w:sz w:val="22"/>
                <w:szCs w:val="22"/>
                <w:highlight w:val="none"/>
                <w:lang w:val="en-US" w:eastAsia="zh-CN"/>
              </w:rPr>
              <w:t>40分</w:t>
            </w:r>
            <w:r>
              <w:rPr>
                <w:color w:val="auto"/>
                <w:sz w:val="22"/>
                <w:szCs w:val="22"/>
                <w:highlight w:val="none"/>
                <w:lang w:eastAsia="zh-CN"/>
              </w:rPr>
              <w:t>)</w:t>
            </w:r>
          </w:p>
          <w:p w14:paraId="5E45537F">
            <w:pPr>
              <w:pStyle w:val="71"/>
              <w:kinsoku/>
              <w:autoSpaceDE w:val="0"/>
              <w:autoSpaceDN w:val="0"/>
              <w:spacing w:line="416" w:lineRule="auto"/>
              <w:ind w:right="168" w:hanging="9"/>
              <w:jc w:val="center"/>
              <w:rPr>
                <w:rFonts w:hint="eastAsia"/>
                <w:color w:val="auto"/>
                <w:sz w:val="22"/>
                <w:szCs w:val="22"/>
                <w:highlight w:val="none"/>
                <w:lang w:eastAsia="zh-CN"/>
              </w:rPr>
            </w:pPr>
          </w:p>
        </w:tc>
        <w:tc>
          <w:tcPr>
            <w:tcW w:w="5723" w:type="dxa"/>
          </w:tcPr>
          <w:p w14:paraId="2544199A">
            <w:pPr>
              <w:pStyle w:val="71"/>
              <w:autoSpaceDE w:val="0"/>
              <w:autoSpaceDN w:val="0"/>
              <w:spacing w:line="360" w:lineRule="auto"/>
              <w:jc w:val="both"/>
              <w:rPr>
                <w:rFonts w:hint="default" w:ascii="宋体" w:hAnsi="宋体" w:eastAsia="宋体" w:cs="宋体"/>
                <w:color w:val="auto"/>
                <w:sz w:val="22"/>
                <w:szCs w:val="22"/>
                <w:highlight w:val="none"/>
                <w:lang w:eastAsia="zh-CN"/>
              </w:rPr>
            </w:pPr>
            <w:r>
              <w:rPr>
                <w:rFonts w:hint="default"/>
                <w:b w:val="0"/>
                <w:bCs w:val="0"/>
                <w:color w:val="auto"/>
                <w:kern w:val="0"/>
                <w:sz w:val="22"/>
                <w:szCs w:val="22"/>
                <w:highlight w:val="none"/>
                <w:lang w:val="en-US" w:eastAsia="zh-CN"/>
              </w:rPr>
              <w:t>1、</w:t>
            </w:r>
            <w:r>
              <w:rPr>
                <w:rFonts w:hint="default" w:ascii="宋体" w:hAnsi="宋体" w:eastAsia="宋体" w:cs="宋体"/>
                <w:color w:val="auto"/>
                <w:sz w:val="22"/>
                <w:szCs w:val="22"/>
                <w:highlight w:val="none"/>
                <w:lang w:eastAsia="zh-CN"/>
              </w:rPr>
              <w:t>自</w:t>
            </w:r>
            <w:r>
              <w:rPr>
                <w:rFonts w:hint="default" w:ascii="宋体" w:hAnsi="宋体" w:eastAsia="宋体" w:cs="宋体"/>
                <w:color w:val="auto"/>
                <w:sz w:val="22"/>
                <w:szCs w:val="22"/>
                <w:highlight w:val="none"/>
                <w:lang w:val="en-US" w:eastAsia="zh-CN"/>
              </w:rPr>
              <w:t>202</w:t>
            </w:r>
            <w:r>
              <w:rPr>
                <w:rFonts w:hint="eastAsia"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年1月1日至今，</w:t>
            </w:r>
            <w:r>
              <w:rPr>
                <w:rFonts w:hint="default" w:ascii="宋体" w:hAnsi="宋体" w:eastAsia="宋体" w:cs="宋体"/>
                <w:color w:val="auto"/>
                <w:sz w:val="22"/>
                <w:szCs w:val="22"/>
                <w:highlight w:val="none"/>
                <w:lang w:eastAsia="zh-CN"/>
              </w:rPr>
              <w:t>供应商每完成过</w:t>
            </w:r>
            <w:r>
              <w:rPr>
                <w:rFonts w:hint="default" w:ascii="宋体" w:hAnsi="宋体" w:eastAsia="宋体" w:cs="宋体"/>
                <w:color w:val="auto"/>
                <w:sz w:val="22"/>
                <w:szCs w:val="22"/>
                <w:highlight w:val="none"/>
                <w:lang w:val="en-US" w:eastAsia="zh-CN"/>
              </w:rPr>
              <w:t>1个</w:t>
            </w:r>
            <w:r>
              <w:rPr>
                <w:rFonts w:hint="default" w:ascii="宋体" w:hAnsi="宋体" w:eastAsia="宋体" w:cs="宋体"/>
                <w:color w:val="auto"/>
                <w:sz w:val="22"/>
                <w:szCs w:val="22"/>
                <w:highlight w:val="none"/>
                <w:lang w:eastAsia="zh-CN"/>
              </w:rPr>
              <w:t>市级及以上政府投融资平台公司评级项目，每提供一个得5分，</w:t>
            </w:r>
            <w:r>
              <w:rPr>
                <w:rFonts w:hint="default" w:ascii="宋体" w:hAnsi="宋体" w:eastAsia="宋体" w:cs="宋体"/>
                <w:b w:val="0"/>
                <w:color w:val="auto"/>
                <w:sz w:val="22"/>
                <w:szCs w:val="22"/>
                <w:highlight w:val="none"/>
                <w:lang w:eastAsia="zh-CN"/>
              </w:rPr>
              <w:t>此项满分</w:t>
            </w:r>
            <w:r>
              <w:rPr>
                <w:rFonts w:hint="eastAsia" w:cs="宋体"/>
                <w:b w:val="0"/>
                <w:color w:val="auto"/>
                <w:sz w:val="22"/>
                <w:szCs w:val="22"/>
                <w:highlight w:val="none"/>
                <w:lang w:val="en-US" w:eastAsia="zh-CN"/>
              </w:rPr>
              <w:t>25</w:t>
            </w:r>
            <w:r>
              <w:rPr>
                <w:rFonts w:hint="default" w:ascii="宋体" w:hAnsi="宋体" w:eastAsia="宋体" w:cs="宋体"/>
                <w:b w:val="0"/>
                <w:color w:val="auto"/>
                <w:sz w:val="22"/>
                <w:szCs w:val="22"/>
                <w:highlight w:val="none"/>
                <w:lang w:eastAsia="zh-CN"/>
              </w:rPr>
              <w:t>分。</w:t>
            </w:r>
          </w:p>
          <w:p w14:paraId="16BDAEE5">
            <w:pPr>
              <w:pStyle w:val="71"/>
              <w:autoSpaceDE w:val="0"/>
              <w:autoSpaceDN w:val="0"/>
              <w:spacing w:line="360" w:lineRule="auto"/>
              <w:jc w:val="both"/>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eastAsia="zh-CN"/>
              </w:rPr>
              <w:t>注：提供</w:t>
            </w:r>
            <w:r>
              <w:rPr>
                <w:rFonts w:hint="default" w:ascii="宋体" w:hAnsi="宋体" w:eastAsia="宋体" w:cs="宋体"/>
                <w:color w:val="auto"/>
                <w:sz w:val="22"/>
                <w:szCs w:val="22"/>
                <w:highlight w:val="none"/>
                <w:lang w:val="en-US" w:eastAsia="zh-CN"/>
              </w:rPr>
              <w:t>评级</w:t>
            </w:r>
            <w:r>
              <w:rPr>
                <w:rFonts w:hint="default" w:ascii="宋体" w:hAnsi="宋体" w:eastAsia="宋体" w:cs="宋体"/>
                <w:color w:val="auto"/>
                <w:sz w:val="22"/>
                <w:szCs w:val="22"/>
                <w:highlight w:val="none"/>
                <w:lang w:eastAsia="zh-CN"/>
              </w:rPr>
              <w:t>合同复印件或影印件或扫描件，加盖供应商公章。</w:t>
            </w:r>
          </w:p>
          <w:p w14:paraId="51C51C9A">
            <w:pPr>
              <w:keepNext w:val="0"/>
              <w:keepLines w:val="0"/>
              <w:widowControl w:val="0"/>
              <w:suppressLineNumbers w:val="0"/>
              <w:autoSpaceDE w:val="0"/>
              <w:autoSpaceDN w:val="0"/>
              <w:spacing w:before="0" w:beforeAutospacing="0" w:after="0" w:afterAutospacing="0" w:line="273" w:lineRule="auto"/>
              <w:ind w:left="0" w:right="0"/>
              <w:jc w:val="both"/>
              <w:rPr>
                <w:rFonts w:hint="eastAsia" w:ascii="宋体" w:hAnsi="宋体" w:eastAsia="宋体" w:cs="Times New Roman"/>
                <w:kern w:val="0"/>
                <w:sz w:val="24"/>
                <w:szCs w:val="24"/>
              </w:rPr>
            </w:pPr>
            <w:r>
              <w:rPr>
                <w:rFonts w:hint="default" w:ascii="宋体" w:hAnsi="宋体" w:eastAsia="宋体" w:cs="宋体"/>
                <w:b w:val="0"/>
                <w:color w:val="auto"/>
                <w:sz w:val="22"/>
                <w:szCs w:val="22"/>
                <w:highlight w:val="none"/>
                <w:lang w:val="en-US" w:eastAsia="zh-CN"/>
              </w:rPr>
              <w:t>2、</w:t>
            </w:r>
            <w:r>
              <w:rPr>
                <w:rFonts w:hint="eastAsia" w:ascii="宋体" w:hAnsi="宋体" w:eastAsia="宋体" w:cs="宋体"/>
                <w:snapToGrid w:val="0"/>
                <w:color w:val="000000"/>
                <w:kern w:val="0"/>
                <w:sz w:val="24"/>
                <w:szCs w:val="24"/>
                <w:lang w:val="en-US" w:eastAsia="zh-CN" w:bidi="ar"/>
              </w:rPr>
              <w:t>根据投标人过往是否曾被证监会或中国银行间市场交易商协会责令暂停业务处罚的情况进行评分：</w:t>
            </w:r>
            <w:r>
              <w:rPr>
                <w:rFonts w:hint="eastAsia" w:ascii="宋体" w:hAnsi="宋体" w:eastAsia="宋体" w:cs="Times New Roman"/>
                <w:snapToGrid w:val="0"/>
                <w:color w:val="000000"/>
                <w:kern w:val="0"/>
                <w:sz w:val="24"/>
                <w:szCs w:val="24"/>
                <w:lang w:val="en-US" w:eastAsia="zh-CN" w:bidi="ar"/>
              </w:rPr>
              <w:t xml:space="preserve"> </w:t>
            </w:r>
          </w:p>
          <w:p w14:paraId="4B3FB0C1">
            <w:pPr>
              <w:keepNext w:val="0"/>
              <w:keepLines w:val="0"/>
              <w:widowControl w:val="0"/>
              <w:suppressLineNumbers w:val="0"/>
              <w:autoSpaceDE w:val="0"/>
              <w:autoSpaceDN w:val="0"/>
              <w:spacing w:before="0" w:beforeAutospacing="0" w:after="0" w:afterAutospacing="0" w:line="273" w:lineRule="auto"/>
              <w:ind w:left="0" w:right="0"/>
              <w:jc w:val="both"/>
              <w:rPr>
                <w:rFonts w:hint="eastAsia" w:ascii="宋体" w:hAnsi="宋体" w:eastAsia="宋体" w:cs="Times New Roman"/>
                <w:kern w:val="0"/>
                <w:sz w:val="24"/>
                <w:szCs w:val="24"/>
              </w:rPr>
            </w:pPr>
            <w:r>
              <w:rPr>
                <w:rFonts w:hint="eastAsia" w:ascii="宋体" w:hAnsi="宋体" w:eastAsia="宋体" w:cs="Times New Roman"/>
                <w:snapToGrid w:val="0"/>
                <w:color w:val="000000"/>
                <w:kern w:val="0"/>
                <w:sz w:val="24"/>
                <w:szCs w:val="24"/>
                <w:lang w:val="en-US" w:eastAsia="zh-CN" w:bidi="ar"/>
              </w:rPr>
              <w:t>没有被暂停过</w:t>
            </w:r>
            <w:r>
              <w:rPr>
                <w:rFonts w:hint="eastAsia" w:ascii="宋体" w:hAnsi="宋体" w:eastAsia="宋体" w:cs="宋体"/>
                <w:snapToGrid w:val="0"/>
                <w:color w:val="000000"/>
                <w:kern w:val="0"/>
                <w:sz w:val="24"/>
                <w:szCs w:val="24"/>
                <w:lang w:val="en-US" w:eastAsia="zh-CN" w:bidi="ar"/>
              </w:rPr>
              <w:t>业务的，得</w:t>
            </w:r>
            <w:r>
              <w:rPr>
                <w:rFonts w:hint="eastAsia" w:ascii="宋体" w:hAnsi="宋体" w:eastAsia="宋体" w:cs="Times New Roman"/>
                <w:snapToGrid w:val="0"/>
                <w:color w:val="000000"/>
                <w:kern w:val="0"/>
                <w:sz w:val="24"/>
                <w:szCs w:val="24"/>
                <w:lang w:val="en-US" w:eastAsia="zh-CN" w:bidi="ar"/>
              </w:rPr>
              <w:t>15分；</w:t>
            </w:r>
            <w:r>
              <w:rPr>
                <w:rFonts w:hint="eastAsia" w:ascii="宋体" w:hAnsi="宋体" w:eastAsia="宋体" w:cs="Times New Roman"/>
                <w:kern w:val="0"/>
                <w:sz w:val="24"/>
                <w:szCs w:val="24"/>
              </w:rPr>
              <w:t>被暂停</w:t>
            </w:r>
            <w:r>
              <w:rPr>
                <w:rFonts w:hint="eastAsia" w:ascii="宋体" w:hAnsi="宋体" w:eastAsia="宋体" w:cs="宋体"/>
                <w:kern w:val="0"/>
                <w:sz w:val="24"/>
                <w:szCs w:val="24"/>
              </w:rPr>
              <w:t>业务</w:t>
            </w:r>
            <w:r>
              <w:rPr>
                <w:rFonts w:hint="eastAsia" w:ascii="宋体" w:hAnsi="宋体" w:eastAsia="宋体" w:cs="Times New Roman"/>
                <w:kern w:val="0"/>
                <w:sz w:val="24"/>
                <w:szCs w:val="24"/>
              </w:rPr>
              <w:t>1次的，得</w:t>
            </w:r>
            <w:r>
              <w:rPr>
                <w:rFonts w:hint="eastAsia" w:ascii="宋体" w:hAnsi="宋体" w:eastAsia="宋体" w:cs="Times New Roman"/>
                <w:kern w:val="0"/>
                <w:sz w:val="24"/>
                <w:szCs w:val="24"/>
                <w:lang w:val="en-US" w:eastAsia="zh-CN"/>
              </w:rPr>
              <w:t>5</w:t>
            </w:r>
            <w:r>
              <w:rPr>
                <w:rFonts w:hint="eastAsia" w:ascii="宋体" w:hAnsi="宋体" w:eastAsia="宋体" w:cs="Times New Roman"/>
                <w:kern w:val="0"/>
                <w:sz w:val="24"/>
                <w:szCs w:val="24"/>
              </w:rPr>
              <w:t>分；被暂停</w:t>
            </w:r>
            <w:r>
              <w:rPr>
                <w:rFonts w:hint="eastAsia" w:ascii="宋体" w:hAnsi="宋体" w:eastAsia="宋体" w:cs="宋体"/>
                <w:kern w:val="0"/>
                <w:sz w:val="24"/>
                <w:szCs w:val="24"/>
              </w:rPr>
              <w:t>业务</w:t>
            </w:r>
            <w:r>
              <w:rPr>
                <w:rFonts w:hint="eastAsia" w:ascii="宋体" w:hAnsi="宋体" w:eastAsia="宋体" w:cs="Times New Roman"/>
                <w:kern w:val="0"/>
                <w:sz w:val="24"/>
                <w:szCs w:val="24"/>
              </w:rPr>
              <w:t>2次</w:t>
            </w:r>
            <w:r>
              <w:rPr>
                <w:rFonts w:hint="eastAsia" w:ascii="宋体" w:hAnsi="宋体" w:eastAsia="宋体" w:cs="Times New Roman"/>
                <w:kern w:val="0"/>
                <w:sz w:val="24"/>
                <w:szCs w:val="24"/>
                <w:lang w:val="en-US" w:eastAsia="zh-CN"/>
              </w:rPr>
              <w:t>及以上</w:t>
            </w:r>
            <w:r>
              <w:rPr>
                <w:rFonts w:hint="eastAsia" w:ascii="宋体" w:hAnsi="宋体" w:eastAsia="宋体" w:cs="Times New Roman"/>
                <w:kern w:val="0"/>
                <w:sz w:val="24"/>
                <w:szCs w:val="24"/>
              </w:rPr>
              <w:t>的，得</w:t>
            </w:r>
            <w:r>
              <w:rPr>
                <w:rFonts w:hint="eastAsia" w:ascii="宋体" w:hAnsi="宋体" w:eastAsia="宋体" w:cs="Times New Roman"/>
                <w:kern w:val="0"/>
                <w:sz w:val="24"/>
                <w:szCs w:val="24"/>
                <w:lang w:val="en-US" w:eastAsia="zh-CN"/>
              </w:rPr>
              <w:t>0</w:t>
            </w:r>
            <w:r>
              <w:rPr>
                <w:rFonts w:hint="eastAsia" w:ascii="宋体" w:hAnsi="宋体" w:eastAsia="宋体" w:cs="Times New Roman"/>
                <w:kern w:val="0"/>
                <w:sz w:val="24"/>
                <w:szCs w:val="24"/>
              </w:rPr>
              <w:t>分。</w:t>
            </w:r>
          </w:p>
          <w:p w14:paraId="5DC0277C">
            <w:pPr>
              <w:keepNext w:val="0"/>
              <w:keepLines w:val="0"/>
              <w:widowControl w:val="0"/>
              <w:suppressLineNumbers w:val="0"/>
              <w:autoSpaceDE w:val="0"/>
              <w:autoSpaceDN w:val="0"/>
              <w:spacing w:before="0" w:beforeAutospacing="0" w:after="0" w:afterAutospacing="0" w:line="273" w:lineRule="auto"/>
              <w:ind w:left="0" w:right="0"/>
              <w:jc w:val="both"/>
              <w:rPr>
                <w:rFonts w:hint="eastAsia" w:ascii="宋体" w:hAnsi="宋体" w:eastAsia="宋体" w:cs="Times New Roman"/>
                <w:kern w:val="0"/>
                <w:sz w:val="24"/>
                <w:szCs w:val="24"/>
              </w:rPr>
            </w:pPr>
            <w:r>
              <w:rPr>
                <w:rFonts w:hint="eastAsia" w:ascii="宋体" w:hAnsi="宋体" w:eastAsia="宋体" w:cs="宋体"/>
                <w:snapToGrid w:val="0"/>
                <w:color w:val="000000"/>
                <w:kern w:val="0"/>
                <w:sz w:val="24"/>
                <w:szCs w:val="24"/>
                <w:lang w:val="en-US" w:eastAsia="zh-CN" w:bidi="ar"/>
              </w:rPr>
              <w:t>注：投标人应如实提供相应的证明材料：</w:t>
            </w:r>
          </w:p>
          <w:p w14:paraId="30D2CE6C">
            <w:pPr>
              <w:keepNext w:val="0"/>
              <w:keepLines w:val="0"/>
              <w:widowControl w:val="0"/>
              <w:suppressLineNumbers w:val="0"/>
              <w:autoSpaceDE w:val="0"/>
              <w:autoSpaceDN w:val="0"/>
              <w:spacing w:before="0" w:beforeAutospacing="0" w:after="0" w:afterAutospacing="0" w:line="273" w:lineRule="auto"/>
              <w:ind w:left="0" w:right="0"/>
              <w:jc w:val="both"/>
              <w:rPr>
                <w:rFonts w:hint="eastAsia" w:ascii="宋体" w:hAnsi="宋体" w:eastAsia="宋体" w:cs="Times New Roman"/>
                <w:kern w:val="0"/>
                <w:sz w:val="24"/>
                <w:szCs w:val="24"/>
              </w:rPr>
            </w:pPr>
            <w:r>
              <w:rPr>
                <w:rFonts w:hint="eastAsia" w:ascii="宋体" w:hAnsi="宋体" w:eastAsia="宋体" w:cs="Times New Roman"/>
                <w:snapToGrid w:val="0"/>
                <w:color w:val="000000"/>
                <w:kern w:val="0"/>
                <w:sz w:val="24"/>
                <w:szCs w:val="24"/>
                <w:lang w:val="en-US" w:eastAsia="zh-CN" w:bidi="ar"/>
              </w:rPr>
              <w:t>1）投标人如没有被暂停过牌照的提供承诺函并加盖公章，格式自拟。</w:t>
            </w:r>
          </w:p>
          <w:p w14:paraId="2ADD6550">
            <w:pPr>
              <w:keepNext w:val="0"/>
              <w:keepLines w:val="0"/>
              <w:widowControl w:val="0"/>
              <w:suppressLineNumbers w:val="0"/>
              <w:autoSpaceDE w:val="0"/>
              <w:autoSpaceDN w:val="0"/>
              <w:spacing w:before="0" w:beforeAutospacing="0" w:after="0" w:afterAutospacing="0" w:line="273" w:lineRule="auto"/>
              <w:ind w:left="0" w:right="0"/>
              <w:jc w:val="both"/>
              <w:rPr>
                <w:rFonts w:hint="eastAsia" w:ascii="宋体" w:hAnsi="宋体" w:eastAsia="宋体" w:cs="Times New Roman"/>
                <w:kern w:val="0"/>
                <w:sz w:val="24"/>
                <w:szCs w:val="24"/>
              </w:rPr>
            </w:pPr>
            <w:r>
              <w:rPr>
                <w:rFonts w:hint="eastAsia" w:ascii="宋体" w:hAnsi="宋体" w:eastAsia="宋体" w:cs="Times New Roman"/>
                <w:snapToGrid w:val="0"/>
                <w:color w:val="000000"/>
                <w:kern w:val="0"/>
                <w:sz w:val="24"/>
                <w:szCs w:val="24"/>
                <w:lang w:val="en-US" w:eastAsia="zh-CN" w:bidi="ar"/>
              </w:rPr>
              <w:t>2）投标人如受到过监管部门暂停牌照的处罚，需在投标文件中提供</w:t>
            </w:r>
            <w:r>
              <w:rPr>
                <w:rFonts w:hint="eastAsia" w:ascii="宋体" w:hAnsi="宋体" w:eastAsia="宋体" w:cs="宋体"/>
                <w:snapToGrid w:val="0"/>
                <w:color w:val="000000"/>
                <w:kern w:val="0"/>
                <w:sz w:val="24"/>
                <w:szCs w:val="24"/>
                <w:lang w:val="en-US" w:eastAsia="zh-CN" w:bidi="ar"/>
              </w:rPr>
              <w:t>相关处罚说明并加盖投标人公章</w:t>
            </w:r>
          </w:p>
          <w:p w14:paraId="2926B8DF">
            <w:pPr>
              <w:keepNext w:val="0"/>
              <w:keepLines w:val="0"/>
              <w:widowControl w:val="0"/>
              <w:suppressLineNumbers w:val="0"/>
              <w:autoSpaceDE w:val="0"/>
              <w:autoSpaceDN w:val="0"/>
              <w:spacing w:before="0" w:beforeAutospacing="0" w:after="0" w:afterAutospacing="0" w:line="273" w:lineRule="auto"/>
              <w:ind w:left="0" w:right="0"/>
              <w:jc w:val="both"/>
              <w:rPr>
                <w:rFonts w:hint="eastAsia" w:ascii="宋体" w:hAnsi="宋体" w:eastAsia="宋体" w:cs="Times New Roman"/>
                <w:kern w:val="0"/>
                <w:sz w:val="24"/>
                <w:szCs w:val="24"/>
              </w:rPr>
            </w:pPr>
            <w:r>
              <w:rPr>
                <w:rFonts w:hint="eastAsia" w:ascii="宋体" w:hAnsi="宋体" w:eastAsia="宋体" w:cs="Times New Roman"/>
                <w:snapToGrid w:val="0"/>
                <w:color w:val="000000"/>
                <w:kern w:val="0"/>
                <w:sz w:val="24"/>
                <w:szCs w:val="24"/>
                <w:lang w:val="en-US" w:eastAsia="zh-CN" w:bidi="ar"/>
              </w:rPr>
              <w:t>3）未按要求提供相应材料的该项不得分。</w:t>
            </w:r>
          </w:p>
          <w:p w14:paraId="4752B9BA">
            <w:pPr>
              <w:keepNext w:val="0"/>
              <w:keepLines w:val="0"/>
              <w:widowControl w:val="0"/>
              <w:suppressLineNumbers w:val="0"/>
              <w:autoSpaceDE w:val="0"/>
              <w:autoSpaceDN w:val="0"/>
              <w:spacing w:before="0" w:beforeAutospacing="0" w:after="0" w:afterAutospacing="0"/>
              <w:ind w:left="0" w:right="0"/>
              <w:jc w:val="both"/>
            </w:pPr>
            <w:r>
              <w:rPr>
                <w:rFonts w:hint="eastAsia" w:ascii="宋体" w:hAnsi="宋体" w:eastAsia="宋体" w:cs="宋体"/>
                <w:snapToGrid w:val="0"/>
                <w:color w:val="000000"/>
                <w:kern w:val="0"/>
                <w:sz w:val="24"/>
                <w:szCs w:val="24"/>
                <w:lang w:val="en-US" w:eastAsia="zh-CN" w:bidi="ar"/>
              </w:rPr>
              <w:t>投标人需保证提供的资料均真实有效，</w:t>
            </w:r>
            <w:r>
              <w:rPr>
                <w:rFonts w:hint="eastAsia" w:ascii="宋体" w:hAnsi="宋体" w:cs="宋体"/>
                <w:snapToGrid w:val="0"/>
                <w:color w:val="000000"/>
                <w:kern w:val="0"/>
                <w:sz w:val="24"/>
                <w:szCs w:val="24"/>
                <w:lang w:val="en-US" w:eastAsia="zh-CN" w:bidi="ar"/>
              </w:rPr>
              <w:t>如</w:t>
            </w:r>
            <w:r>
              <w:rPr>
                <w:rFonts w:hint="eastAsia" w:ascii="宋体" w:hAnsi="宋体" w:eastAsia="宋体" w:cs="宋体"/>
                <w:snapToGrid w:val="0"/>
                <w:color w:val="000000"/>
                <w:kern w:val="0"/>
                <w:sz w:val="24"/>
                <w:szCs w:val="24"/>
                <w:lang w:val="en-US" w:eastAsia="zh-CN" w:bidi="ar"/>
              </w:rPr>
              <w:t>弄虚作假将自行承担一切法律责任并将按照废标处理。</w:t>
            </w:r>
          </w:p>
          <w:p w14:paraId="3DF5A648">
            <w:pPr>
              <w:pStyle w:val="71"/>
              <w:kinsoku/>
              <w:autoSpaceDE w:val="0"/>
              <w:autoSpaceDN w:val="0"/>
              <w:spacing w:line="360" w:lineRule="auto"/>
              <w:jc w:val="both"/>
              <w:rPr>
                <w:rFonts w:hint="default"/>
                <w:color w:val="auto"/>
                <w:sz w:val="22"/>
                <w:szCs w:val="22"/>
                <w:highlight w:val="none"/>
                <w:lang w:eastAsia="zh-CN"/>
              </w:rPr>
            </w:pPr>
          </w:p>
        </w:tc>
        <w:tc>
          <w:tcPr>
            <w:tcW w:w="844" w:type="dxa"/>
          </w:tcPr>
          <w:p w14:paraId="08BB60D7">
            <w:pPr>
              <w:kinsoku/>
              <w:autoSpaceDE w:val="0"/>
              <w:autoSpaceDN w:val="0"/>
              <w:rPr>
                <w:color w:val="auto"/>
                <w:highlight w:val="none"/>
                <w:lang w:eastAsia="zh-CN"/>
              </w:rPr>
            </w:pPr>
          </w:p>
        </w:tc>
      </w:tr>
    </w:tbl>
    <w:p w14:paraId="4682F6F7">
      <w:pPr>
        <w:pStyle w:val="7"/>
        <w:kinsoku/>
        <w:rPr>
          <w:color w:val="auto"/>
          <w:highlight w:val="none"/>
          <w:lang w:eastAsia="zh-CN"/>
        </w:rPr>
      </w:pPr>
    </w:p>
    <w:tbl>
      <w:tblPr>
        <w:tblStyle w:val="69"/>
        <w:tblW w:w="9073"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1418"/>
        <w:gridCol w:w="5670"/>
        <w:gridCol w:w="850"/>
      </w:tblGrid>
      <w:tr w14:paraId="451DC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1135" w:type="dxa"/>
            <w:vAlign w:val="center"/>
          </w:tcPr>
          <w:p w14:paraId="6F000C77">
            <w:pPr>
              <w:pStyle w:val="71"/>
              <w:kinsoku/>
              <w:autoSpaceDE w:val="0"/>
              <w:autoSpaceDN w:val="0"/>
              <w:spacing w:before="224" w:line="424" w:lineRule="auto"/>
              <w:ind w:left="205" w:right="160"/>
              <w:jc w:val="center"/>
              <w:rPr>
                <w:color w:val="auto"/>
                <w:sz w:val="22"/>
                <w:szCs w:val="22"/>
                <w:highlight w:val="none"/>
              </w:rPr>
            </w:pPr>
            <w:r>
              <w:rPr>
                <w:color w:val="auto"/>
                <w:sz w:val="22"/>
                <w:szCs w:val="22"/>
                <w:highlight w:val="none"/>
              </w:rPr>
              <w:t>商务分 (</w:t>
            </w:r>
            <w:r>
              <w:rPr>
                <w:rFonts w:hint="eastAsia"/>
                <w:color w:val="auto"/>
                <w:sz w:val="22"/>
                <w:szCs w:val="22"/>
                <w:highlight w:val="none"/>
                <w:lang w:val="en-US" w:eastAsia="zh-CN"/>
              </w:rPr>
              <w:t>10</w:t>
            </w:r>
            <w:r>
              <w:rPr>
                <w:color w:val="auto"/>
                <w:sz w:val="22"/>
                <w:szCs w:val="22"/>
                <w:highlight w:val="none"/>
              </w:rPr>
              <w:t>分)</w:t>
            </w:r>
          </w:p>
        </w:tc>
        <w:tc>
          <w:tcPr>
            <w:tcW w:w="1418" w:type="dxa"/>
            <w:vAlign w:val="center"/>
          </w:tcPr>
          <w:p w14:paraId="440B056A">
            <w:pPr>
              <w:kinsoku/>
              <w:autoSpaceDE w:val="0"/>
              <w:autoSpaceDN w:val="0"/>
              <w:jc w:val="center"/>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snapToGrid w:val="0"/>
                <w:color w:val="auto"/>
                <w:sz w:val="22"/>
                <w:szCs w:val="22"/>
                <w:highlight w:val="none"/>
                <w:lang w:val="en-US" w:eastAsia="zh-CN" w:bidi="ar-SA"/>
              </w:rPr>
              <w:t>响应报价</w:t>
            </w:r>
          </w:p>
          <w:p w14:paraId="4B4E344F">
            <w:pPr>
              <w:kinsoku/>
              <w:autoSpaceDE w:val="0"/>
              <w:autoSpaceDN w:val="0"/>
              <w:jc w:val="center"/>
              <w:rPr>
                <w:rFonts w:eastAsia="宋体"/>
                <w:color w:val="auto"/>
                <w:highlight w:val="none"/>
                <w:lang w:eastAsia="zh-CN"/>
              </w:rPr>
            </w:pPr>
            <w:r>
              <w:rPr>
                <w:rFonts w:hint="eastAsia" w:ascii="宋体" w:hAnsi="宋体" w:eastAsia="宋体" w:cs="宋体"/>
                <w:snapToGrid w:val="0"/>
                <w:color w:val="auto"/>
                <w:sz w:val="22"/>
                <w:szCs w:val="22"/>
                <w:highlight w:val="none"/>
                <w:lang w:val="en-US" w:eastAsia="zh-CN" w:bidi="ar-SA"/>
              </w:rPr>
              <w:t>（10分）</w:t>
            </w:r>
          </w:p>
        </w:tc>
        <w:tc>
          <w:tcPr>
            <w:tcW w:w="5670" w:type="dxa"/>
          </w:tcPr>
          <w:p w14:paraId="192C57A4">
            <w:pPr>
              <w:pStyle w:val="71"/>
              <w:kinsoku/>
              <w:autoSpaceDE w:val="0"/>
              <w:autoSpaceDN w:val="0"/>
              <w:spacing w:before="190" w:line="419" w:lineRule="auto"/>
              <w:ind w:left="3" w:firstLine="170"/>
              <w:jc w:val="both"/>
              <w:rPr>
                <w:color w:val="auto"/>
                <w:sz w:val="22"/>
                <w:szCs w:val="22"/>
                <w:highlight w:val="none"/>
                <w:lang w:eastAsia="zh-CN"/>
              </w:rPr>
            </w:pPr>
            <w:r>
              <w:rPr>
                <w:color w:val="auto"/>
                <w:sz w:val="22"/>
                <w:szCs w:val="22"/>
                <w:highlight w:val="none"/>
                <w:lang w:eastAsia="zh-CN"/>
              </w:rPr>
              <w:t>(1)价格标经评审满足本文件要求且在预算范围内的供应商的总报价中，最低价格为评标基准价格，得满分</w:t>
            </w:r>
            <w:r>
              <w:rPr>
                <w:rFonts w:hint="eastAsia"/>
                <w:color w:val="auto"/>
                <w:sz w:val="22"/>
                <w:szCs w:val="22"/>
                <w:highlight w:val="none"/>
                <w:lang w:val="en-US" w:eastAsia="zh-CN"/>
              </w:rPr>
              <w:t>10</w:t>
            </w:r>
            <w:r>
              <w:rPr>
                <w:color w:val="auto"/>
                <w:sz w:val="22"/>
                <w:szCs w:val="22"/>
                <w:highlight w:val="none"/>
                <w:lang w:eastAsia="zh-CN"/>
              </w:rPr>
              <w:t>分；其他供应商的价格分统一按照下列公式计算：</w:t>
            </w:r>
          </w:p>
          <w:p w14:paraId="52650C6F">
            <w:pPr>
              <w:pStyle w:val="71"/>
              <w:kinsoku/>
              <w:autoSpaceDE w:val="0"/>
              <w:autoSpaceDN w:val="0"/>
              <w:spacing w:before="34" w:line="334" w:lineRule="auto"/>
              <w:ind w:left="0" w:right="270" w:firstLine="220" w:firstLineChars="100"/>
              <w:jc w:val="both"/>
              <w:rPr>
                <w:color w:val="auto"/>
                <w:sz w:val="22"/>
                <w:szCs w:val="22"/>
                <w:highlight w:val="none"/>
                <w:lang w:eastAsia="zh-CN"/>
              </w:rPr>
            </w:pPr>
            <w:r>
              <w:rPr>
                <w:color w:val="auto"/>
                <w:sz w:val="22"/>
                <w:szCs w:val="22"/>
                <w:highlight w:val="none"/>
                <w:lang w:eastAsia="zh-CN"/>
              </w:rPr>
              <w:t>(2)响应报价得分=(评标基准价/响应报价)×价格分分值(取小数点后两位)。</w:t>
            </w:r>
          </w:p>
        </w:tc>
        <w:tc>
          <w:tcPr>
            <w:tcW w:w="850" w:type="dxa"/>
          </w:tcPr>
          <w:p w14:paraId="4A9AA03F">
            <w:pPr>
              <w:kinsoku/>
              <w:autoSpaceDE w:val="0"/>
              <w:autoSpaceDN w:val="0"/>
              <w:rPr>
                <w:color w:val="auto"/>
                <w:highlight w:val="none"/>
                <w:lang w:eastAsia="zh-CN"/>
              </w:rPr>
            </w:pPr>
          </w:p>
        </w:tc>
      </w:tr>
    </w:tbl>
    <w:p w14:paraId="61D788DC">
      <w:pPr>
        <w:pStyle w:val="33"/>
        <w:rPr>
          <w:rFonts w:hint="eastAsia" w:eastAsia="宋体"/>
          <w:color w:val="auto"/>
        </w:rPr>
      </w:pPr>
    </w:p>
    <w:p w14:paraId="7DBCBF15">
      <w:pPr>
        <w:pStyle w:val="33"/>
        <w:rPr>
          <w:rFonts w:hint="eastAsia" w:eastAsia="宋体"/>
          <w:color w:val="auto"/>
        </w:rPr>
      </w:pPr>
    </w:p>
    <w:p w14:paraId="48CDDEDB">
      <w:pPr>
        <w:pStyle w:val="33"/>
        <w:rPr>
          <w:rFonts w:eastAsia="宋体"/>
          <w:color w:val="auto"/>
        </w:rPr>
      </w:pPr>
      <w:r>
        <w:rPr>
          <w:rFonts w:hint="eastAsia" w:eastAsia="宋体"/>
          <w:color w:val="auto"/>
        </w:rPr>
        <w:t>第</w:t>
      </w:r>
      <w:r>
        <w:rPr>
          <w:rFonts w:hint="eastAsia" w:eastAsia="宋体"/>
          <w:color w:val="auto"/>
          <w:lang w:val="en-US" w:eastAsia="zh-CN"/>
        </w:rPr>
        <w:t>四</w:t>
      </w:r>
      <w:r>
        <w:rPr>
          <w:rFonts w:hint="eastAsia" w:eastAsia="宋体"/>
          <w:color w:val="auto"/>
        </w:rPr>
        <w:t xml:space="preserve">章 </w:t>
      </w:r>
      <w:bookmarkEnd w:id="10"/>
      <w:r>
        <w:rPr>
          <w:rFonts w:hint="eastAsia" w:eastAsia="宋体"/>
          <w:color w:val="auto"/>
        </w:rPr>
        <w:t>供应商须知</w:t>
      </w:r>
    </w:p>
    <w:p w14:paraId="1CEB51C6">
      <w:pPr>
        <w:pStyle w:val="36"/>
        <w:jc w:val="both"/>
        <w:rPr>
          <w:rFonts w:cs="宋体"/>
          <w:color w:val="auto"/>
        </w:rPr>
      </w:pPr>
      <w:bookmarkStart w:id="11" w:name="_Toc511899305"/>
      <w:bookmarkEnd w:id="11"/>
      <w:bookmarkStart w:id="12" w:name="_Toc9247"/>
      <w:r>
        <w:rPr>
          <w:rFonts w:hint="eastAsia" w:cs="宋体"/>
          <w:color w:val="auto"/>
        </w:rPr>
        <w:t>一、总则</w:t>
      </w:r>
      <w:bookmarkEnd w:id="12"/>
    </w:p>
    <w:p w14:paraId="0AACE715">
      <w:pPr>
        <w:numPr>
          <w:ilvl w:val="0"/>
          <w:numId w:val="1"/>
        </w:numPr>
        <w:spacing w:line="500" w:lineRule="exact"/>
        <w:rPr>
          <w:rFonts w:ascii="宋体" w:hAnsi="宋体" w:cs="宋体"/>
          <w:b/>
          <w:bCs/>
        </w:rPr>
      </w:pPr>
      <w:r>
        <w:rPr>
          <w:rFonts w:hint="eastAsia" w:ascii="宋体" w:hAnsi="宋体" w:cs="宋体"/>
          <w:b/>
          <w:bCs/>
        </w:rPr>
        <w:t>适用范围</w:t>
      </w:r>
    </w:p>
    <w:p w14:paraId="2629D56A">
      <w:pPr>
        <w:spacing w:line="500" w:lineRule="exact"/>
        <w:ind w:left="267" w:leftChars="127" w:firstLine="210" w:firstLineChars="100"/>
        <w:rPr>
          <w:rFonts w:ascii="宋体" w:hAnsi="宋体" w:cs="宋体"/>
        </w:rPr>
      </w:pPr>
      <w:r>
        <w:rPr>
          <w:rFonts w:hint="eastAsia" w:ascii="宋体" w:hAnsi="宋体" w:cs="宋体"/>
        </w:rPr>
        <w:t>1.1本文件是根据《中华人民共和国政府采购法》等相关法律、法规制订。</w:t>
      </w:r>
    </w:p>
    <w:p w14:paraId="2DED139C">
      <w:pPr>
        <w:spacing w:line="500" w:lineRule="exact"/>
        <w:ind w:firstLine="525" w:firstLineChars="250"/>
        <w:rPr>
          <w:rFonts w:ascii="宋体" w:hAnsi="宋体" w:cs="宋体"/>
        </w:rPr>
      </w:pPr>
      <w:r>
        <w:rPr>
          <w:rFonts w:hint="eastAsia" w:ascii="宋体" w:hAnsi="宋体" w:cs="宋体"/>
        </w:rPr>
        <w:t>1.2本比选文件的最终解释权归采购单位所有。</w:t>
      </w:r>
    </w:p>
    <w:p w14:paraId="7B1601D0">
      <w:pPr>
        <w:spacing w:line="500" w:lineRule="exact"/>
        <w:ind w:firstLine="517" w:firstLineChars="245"/>
        <w:rPr>
          <w:rFonts w:ascii="宋体" w:hAnsi="宋体" w:cs="宋体"/>
          <w:b/>
          <w:bCs/>
        </w:rPr>
      </w:pPr>
      <w:r>
        <w:rPr>
          <w:rFonts w:hint="eastAsia" w:ascii="宋体" w:hAnsi="宋体" w:cs="宋体"/>
          <w:b/>
          <w:bCs/>
        </w:rPr>
        <w:t>2、定义</w:t>
      </w:r>
    </w:p>
    <w:p w14:paraId="165086F8">
      <w:pPr>
        <w:spacing w:line="500" w:lineRule="exact"/>
        <w:ind w:firstLine="525" w:firstLineChars="250"/>
        <w:rPr>
          <w:rFonts w:ascii="宋体" w:hAnsi="宋体" w:cs="宋体"/>
        </w:rPr>
      </w:pPr>
      <w:r>
        <w:rPr>
          <w:rFonts w:hint="eastAsia" w:ascii="宋体" w:hAnsi="宋体" w:cs="宋体"/>
        </w:rPr>
        <w:t>2.1货物服务：既是指本范本适用于货物采购或服务采购，也是指货物采购所伴随的服务或服务采购中伴随的货物采购。</w:t>
      </w:r>
    </w:p>
    <w:p w14:paraId="57AD9542">
      <w:pPr>
        <w:spacing w:line="500" w:lineRule="exact"/>
        <w:ind w:firstLine="525" w:firstLineChars="250"/>
        <w:rPr>
          <w:rFonts w:ascii="宋体" w:hAnsi="宋体" w:cs="宋体"/>
        </w:rPr>
      </w:pPr>
      <w:r>
        <w:rPr>
          <w:rFonts w:hint="eastAsia" w:ascii="宋体" w:hAnsi="宋体" w:cs="宋体"/>
        </w:rPr>
        <w:t>2.</w:t>
      </w:r>
      <w:r>
        <w:rPr>
          <w:rFonts w:ascii="宋体" w:hAnsi="宋体" w:cs="宋体"/>
        </w:rPr>
        <w:t>2</w:t>
      </w:r>
      <w:r>
        <w:rPr>
          <w:rFonts w:hint="eastAsia" w:ascii="宋体" w:hAnsi="宋体" w:cs="宋体"/>
        </w:rPr>
        <w:t>采购单位：是指具体负责和从事采购业务的采购人总称。</w:t>
      </w:r>
    </w:p>
    <w:p w14:paraId="3943EC74">
      <w:pPr>
        <w:spacing w:line="500" w:lineRule="exact"/>
        <w:ind w:firstLine="413" w:firstLineChars="196"/>
        <w:rPr>
          <w:rFonts w:ascii="宋体" w:hAnsi="宋体" w:cs="宋体"/>
          <w:b/>
          <w:bCs/>
        </w:rPr>
      </w:pPr>
      <w:r>
        <w:rPr>
          <w:rFonts w:hint="eastAsia" w:ascii="宋体" w:hAnsi="宋体" w:cs="宋体"/>
          <w:b/>
          <w:bCs/>
        </w:rPr>
        <w:t xml:space="preserve">3、供应商要求 </w:t>
      </w:r>
    </w:p>
    <w:p w14:paraId="7DD2F20F">
      <w:pPr>
        <w:spacing w:line="500" w:lineRule="exact"/>
        <w:rPr>
          <w:rFonts w:ascii="宋体" w:hAnsi="宋体" w:cs="宋体"/>
        </w:rPr>
      </w:pPr>
      <w:bookmarkStart w:id="13" w:name="_Toc12596"/>
      <w:bookmarkEnd w:id="13"/>
      <w:bookmarkStart w:id="14" w:name="_Toc9010"/>
      <w:bookmarkEnd w:id="14"/>
      <w:bookmarkStart w:id="15" w:name="_Toc8996"/>
      <w:r>
        <w:rPr>
          <w:rFonts w:hint="eastAsia" w:ascii="宋体" w:hAnsi="宋体" w:cs="宋体"/>
        </w:rPr>
        <w:t xml:space="preserve">    </w:t>
      </w:r>
      <w:bookmarkEnd w:id="15"/>
      <w:r>
        <w:rPr>
          <w:rFonts w:hint="eastAsia" w:ascii="宋体" w:hAnsi="宋体" w:cs="宋体"/>
        </w:rPr>
        <w:t>3.1 供应商资格要求详见比选公告。</w:t>
      </w:r>
    </w:p>
    <w:p w14:paraId="209D1413">
      <w:pPr>
        <w:spacing w:line="500" w:lineRule="exact"/>
        <w:ind w:firstLine="420" w:firstLineChars="200"/>
        <w:rPr>
          <w:rFonts w:ascii="宋体" w:hAnsi="宋体" w:cs="宋体"/>
        </w:rPr>
      </w:pPr>
      <w:r>
        <w:rPr>
          <w:rFonts w:hint="eastAsia" w:ascii="宋体" w:hAnsi="宋体" w:cs="宋体"/>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4517E2A9">
      <w:pPr>
        <w:spacing w:line="500" w:lineRule="exact"/>
        <w:ind w:firstLine="210" w:firstLineChars="100"/>
        <w:rPr>
          <w:rFonts w:ascii="宋体" w:hAnsi="宋体" w:cs="宋体"/>
        </w:rPr>
      </w:pPr>
      <w:r>
        <w:rPr>
          <w:rFonts w:hint="eastAsia" w:ascii="宋体" w:hAnsi="宋体" w:cs="宋体"/>
        </w:rPr>
        <w:t>3.3供应商存在以下不良信用记录情形之一的，不得推荐为成交候选供应商，不得确定为成交供应商：</w:t>
      </w:r>
    </w:p>
    <w:p w14:paraId="405F4B5B">
      <w:pPr>
        <w:spacing w:line="500" w:lineRule="exact"/>
        <w:ind w:firstLine="210" w:firstLineChars="100"/>
        <w:rPr>
          <w:rFonts w:ascii="宋体" w:hAnsi="宋体" w:cs="宋体"/>
        </w:rPr>
      </w:pPr>
      <w:r>
        <w:rPr>
          <w:rFonts w:hint="eastAsia" w:ascii="宋体" w:hAnsi="宋体" w:cs="宋体"/>
        </w:rPr>
        <w:t>（1）供应商被人民法院列入失信被执行人的；</w:t>
      </w:r>
    </w:p>
    <w:p w14:paraId="22DAB35C">
      <w:pPr>
        <w:spacing w:line="500" w:lineRule="exact"/>
        <w:ind w:firstLine="210" w:firstLineChars="100"/>
        <w:rPr>
          <w:rFonts w:ascii="宋体" w:hAnsi="宋体" w:cs="宋体"/>
        </w:rPr>
      </w:pPr>
      <w:r>
        <w:rPr>
          <w:rFonts w:hint="eastAsia" w:ascii="宋体" w:hAnsi="宋体" w:cs="宋体"/>
        </w:rPr>
        <w:t>（2）供应商或其法定代表人或拟派项目经理（项目负责人）被列入行贿犯罪档案的；</w:t>
      </w:r>
    </w:p>
    <w:p w14:paraId="3B1F86F8">
      <w:pPr>
        <w:spacing w:line="500" w:lineRule="exact"/>
        <w:ind w:firstLine="210" w:firstLineChars="100"/>
        <w:rPr>
          <w:rFonts w:ascii="宋体" w:hAnsi="宋体" w:cs="宋体"/>
        </w:rPr>
      </w:pPr>
      <w:r>
        <w:rPr>
          <w:rFonts w:hint="eastAsia" w:ascii="宋体" w:hAnsi="宋体" w:cs="宋体"/>
        </w:rPr>
        <w:t>（3）供应商被工商行政管理部门列入企业经营异常名录的；</w:t>
      </w:r>
    </w:p>
    <w:p w14:paraId="4389BAED">
      <w:pPr>
        <w:spacing w:line="500" w:lineRule="exact"/>
        <w:ind w:firstLine="210" w:firstLineChars="100"/>
        <w:rPr>
          <w:rFonts w:ascii="宋体" w:hAnsi="宋体" w:cs="宋体"/>
        </w:rPr>
      </w:pPr>
      <w:r>
        <w:rPr>
          <w:rFonts w:hint="eastAsia" w:ascii="宋体" w:hAnsi="宋体" w:cs="宋体"/>
        </w:rPr>
        <w:t>（4）供应商被税务部门列入重大税收违法案件当事人名单的；</w:t>
      </w:r>
    </w:p>
    <w:p w14:paraId="15D4DFFB">
      <w:pPr>
        <w:spacing w:line="500" w:lineRule="exact"/>
        <w:ind w:firstLine="210" w:firstLineChars="100"/>
        <w:rPr>
          <w:rFonts w:ascii="宋体" w:hAnsi="宋体" w:cs="宋体"/>
        </w:rPr>
      </w:pPr>
      <w:r>
        <w:rPr>
          <w:rFonts w:hint="eastAsia" w:ascii="宋体" w:hAnsi="宋体" w:cs="宋体"/>
        </w:rPr>
        <w:t>（5）供应商被政府采购监管部门列入政府采购严重违法失信行为记录名单的。</w:t>
      </w:r>
    </w:p>
    <w:p w14:paraId="22A15768">
      <w:pPr>
        <w:spacing w:line="500" w:lineRule="exact"/>
        <w:ind w:firstLine="420"/>
        <w:rPr>
          <w:rFonts w:ascii="宋体" w:hAnsi="宋体" w:cs="宋体"/>
        </w:rPr>
      </w:pPr>
      <w:r>
        <w:rPr>
          <w:rFonts w:hint="eastAsia" w:ascii="宋体" w:hAnsi="宋体" w:cs="宋体"/>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比选截止时间。</w:t>
      </w:r>
    </w:p>
    <w:p w14:paraId="631AB019">
      <w:pPr>
        <w:numPr>
          <w:ilvl w:val="0"/>
          <w:numId w:val="2"/>
        </w:numPr>
        <w:spacing w:line="500" w:lineRule="exact"/>
        <w:rPr>
          <w:rFonts w:ascii="宋体" w:hAnsi="宋体" w:cs="宋体"/>
          <w:b/>
          <w:bCs/>
        </w:rPr>
      </w:pPr>
      <w:r>
        <w:rPr>
          <w:rFonts w:hint="eastAsia" w:ascii="宋体" w:hAnsi="宋体" w:cs="宋体"/>
          <w:b/>
          <w:bCs/>
        </w:rPr>
        <w:t>供应商参与比选活动的费用</w:t>
      </w:r>
    </w:p>
    <w:p w14:paraId="11E2900B">
      <w:pPr>
        <w:spacing w:line="500" w:lineRule="exact"/>
        <w:ind w:firstLine="499" w:firstLineChars="238"/>
        <w:rPr>
          <w:rFonts w:ascii="宋体" w:hAnsi="宋体" w:cs="宋体"/>
        </w:rPr>
      </w:pPr>
      <w:r>
        <w:rPr>
          <w:rFonts w:hint="eastAsia" w:ascii="宋体" w:hAnsi="宋体" w:cs="宋体"/>
        </w:rPr>
        <w:t>供应商自行承担所有与参加采购活动的有关费用。</w:t>
      </w:r>
    </w:p>
    <w:p w14:paraId="3BBCAB1F">
      <w:pPr>
        <w:spacing w:line="500" w:lineRule="exact"/>
        <w:ind w:firstLine="632" w:firstLineChars="300"/>
        <w:rPr>
          <w:rFonts w:ascii="宋体" w:hAnsi="宋体" w:cs="宋体"/>
          <w:b/>
          <w:bCs/>
        </w:rPr>
      </w:pPr>
      <w:r>
        <w:rPr>
          <w:rFonts w:hint="eastAsia" w:ascii="宋体" w:hAnsi="宋体" w:cs="宋体"/>
          <w:b/>
          <w:bCs/>
        </w:rPr>
        <w:t>5、保密</w:t>
      </w:r>
    </w:p>
    <w:p w14:paraId="4FFD95C8">
      <w:pPr>
        <w:spacing w:line="500" w:lineRule="exact"/>
        <w:ind w:firstLine="420" w:firstLineChars="200"/>
        <w:rPr>
          <w:rFonts w:ascii="宋体" w:hAnsi="宋体" w:cs="宋体"/>
        </w:rPr>
      </w:pPr>
      <w:r>
        <w:rPr>
          <w:rFonts w:hint="eastAsia" w:ascii="宋体" w:hAnsi="宋体" w:cs="宋体"/>
        </w:rPr>
        <w:t>参与采购活动的各方主体应对比选文件和比选响应文件中的商业和技术等秘密保密，违者应对由此造成的后果承担法律责任。</w:t>
      </w:r>
    </w:p>
    <w:p w14:paraId="4E680B79">
      <w:pPr>
        <w:spacing w:line="500" w:lineRule="exact"/>
        <w:ind w:firstLine="632" w:firstLineChars="300"/>
        <w:rPr>
          <w:rFonts w:ascii="宋体" w:hAnsi="宋体" w:cs="宋体"/>
          <w:b/>
          <w:bCs/>
        </w:rPr>
      </w:pPr>
      <w:r>
        <w:rPr>
          <w:rFonts w:hint="eastAsia" w:ascii="宋体" w:hAnsi="宋体" w:cs="宋体"/>
          <w:b/>
          <w:bCs/>
        </w:rPr>
        <w:t>6、语言文字</w:t>
      </w:r>
    </w:p>
    <w:p w14:paraId="088CF76E">
      <w:pPr>
        <w:spacing w:line="500" w:lineRule="exact"/>
        <w:rPr>
          <w:rFonts w:ascii="宋体" w:hAnsi="宋体" w:cs="宋体"/>
        </w:rPr>
      </w:pPr>
      <w:r>
        <w:rPr>
          <w:rFonts w:hint="eastAsia" w:ascii="宋体" w:hAnsi="宋体" w:cs="宋体"/>
        </w:rPr>
        <w:t xml:space="preserve">    比选及比选响应文件使用的语言文字、以及供应商与采购单位就比选相关事项的所有往来函电均须使用简体中文（部分专用术语需使用外文的除外）。</w:t>
      </w:r>
    </w:p>
    <w:p w14:paraId="22FCDB9A">
      <w:pPr>
        <w:spacing w:line="500" w:lineRule="exact"/>
        <w:ind w:firstLine="632" w:firstLineChars="300"/>
        <w:rPr>
          <w:rFonts w:ascii="宋体" w:hAnsi="宋体" w:cs="宋体"/>
          <w:b/>
          <w:bCs/>
        </w:rPr>
      </w:pPr>
      <w:r>
        <w:rPr>
          <w:rFonts w:hint="eastAsia" w:ascii="宋体" w:hAnsi="宋体" w:cs="宋体"/>
          <w:b/>
          <w:bCs/>
        </w:rPr>
        <w:t>7、计量单位</w:t>
      </w:r>
    </w:p>
    <w:p w14:paraId="598175F7">
      <w:pPr>
        <w:pStyle w:val="35"/>
        <w:widowControl w:val="0"/>
        <w:spacing w:line="500" w:lineRule="exact"/>
        <w:ind w:firstLine="420"/>
        <w:rPr>
          <w:rFonts w:ascii="宋体" w:hAnsi="宋体" w:cs="宋体"/>
        </w:rPr>
      </w:pPr>
      <w:r>
        <w:rPr>
          <w:rFonts w:hint="eastAsia" w:ascii="宋体" w:hAnsi="宋体" w:cs="宋体"/>
        </w:rPr>
        <w:t>所有计量均采用中华人民共和国法定计量单位。</w:t>
      </w:r>
    </w:p>
    <w:p w14:paraId="56976875">
      <w:pPr>
        <w:spacing w:line="500" w:lineRule="exact"/>
        <w:ind w:firstLine="632" w:firstLineChars="300"/>
        <w:rPr>
          <w:rFonts w:ascii="宋体" w:hAnsi="宋体" w:cs="宋体"/>
          <w:b/>
          <w:bCs/>
        </w:rPr>
      </w:pPr>
      <w:r>
        <w:rPr>
          <w:rFonts w:hint="eastAsia" w:ascii="宋体" w:hAnsi="宋体" w:cs="宋体"/>
          <w:b/>
          <w:bCs/>
        </w:rPr>
        <w:t>8、勘察现场</w:t>
      </w:r>
    </w:p>
    <w:p w14:paraId="098F47A5">
      <w:pPr>
        <w:spacing w:line="500" w:lineRule="exact"/>
        <w:ind w:firstLine="420" w:firstLineChars="200"/>
        <w:rPr>
          <w:rFonts w:ascii="宋体" w:hAnsi="宋体" w:cs="宋体"/>
        </w:rPr>
      </w:pPr>
      <w:r>
        <w:rPr>
          <w:rFonts w:hint="eastAsia" w:ascii="宋体" w:hAnsi="宋体" w:cs="宋体"/>
        </w:rPr>
        <w:t>采购单位根据项目的具体情况，可以组织潜在供应商现场考察或者召开比选评审前答疑会，但不得单独或者分别组织只有一个供应商参加的现场考察。</w:t>
      </w:r>
    </w:p>
    <w:p w14:paraId="58BC3113">
      <w:pPr>
        <w:spacing w:line="500" w:lineRule="exact"/>
        <w:ind w:firstLine="632" w:firstLineChars="300"/>
        <w:rPr>
          <w:rFonts w:ascii="宋体" w:hAnsi="宋体" w:cs="宋体"/>
          <w:b/>
          <w:bCs/>
        </w:rPr>
      </w:pPr>
      <w:r>
        <w:rPr>
          <w:rFonts w:hint="eastAsia" w:ascii="宋体" w:hAnsi="宋体" w:cs="宋体"/>
          <w:b/>
          <w:bCs/>
        </w:rPr>
        <w:t>9、偏离</w:t>
      </w:r>
    </w:p>
    <w:p w14:paraId="46B37F37">
      <w:pPr>
        <w:spacing w:line="500" w:lineRule="exact"/>
        <w:ind w:firstLine="420" w:firstLineChars="200"/>
        <w:rPr>
          <w:rFonts w:ascii="宋体" w:hAnsi="宋体" w:cs="宋体"/>
        </w:rPr>
      </w:pPr>
      <w:r>
        <w:rPr>
          <w:rFonts w:hint="eastAsia" w:ascii="宋体" w:hAnsi="宋体" w:cs="宋体"/>
        </w:rPr>
        <w:t>比选文件允许比选响应文件偏离某些要求的，偏离应当符合比选文件规定的偏离范围和幅度。</w:t>
      </w:r>
    </w:p>
    <w:p w14:paraId="6F244E99">
      <w:pPr>
        <w:pStyle w:val="36"/>
        <w:jc w:val="both"/>
        <w:rPr>
          <w:rFonts w:cs="宋体"/>
          <w:color w:val="auto"/>
        </w:rPr>
      </w:pPr>
      <w:bookmarkStart w:id="16" w:name="_Toc511899306"/>
      <w:bookmarkEnd w:id="16"/>
      <w:bookmarkStart w:id="17" w:name="_Toc15998"/>
      <w:r>
        <w:rPr>
          <w:rFonts w:hint="eastAsia" w:cs="宋体"/>
          <w:color w:val="auto"/>
        </w:rPr>
        <w:t>二、比选文件</w:t>
      </w:r>
      <w:bookmarkEnd w:id="17"/>
    </w:p>
    <w:p w14:paraId="5EE839D1">
      <w:pPr>
        <w:numPr>
          <w:ilvl w:val="1"/>
          <w:numId w:val="3"/>
        </w:numPr>
        <w:spacing w:line="500" w:lineRule="exact"/>
        <w:rPr>
          <w:rFonts w:ascii="宋体" w:hAnsi="宋体" w:cs="宋体"/>
          <w:b/>
          <w:bCs/>
        </w:rPr>
      </w:pPr>
      <w:r>
        <w:rPr>
          <w:rFonts w:hint="eastAsia" w:ascii="宋体" w:hAnsi="宋体" w:cs="宋体"/>
          <w:b/>
          <w:bCs/>
        </w:rPr>
        <w:t>比选文件构成</w:t>
      </w:r>
    </w:p>
    <w:p w14:paraId="0DFEF90C">
      <w:pPr>
        <w:spacing w:line="500" w:lineRule="exact"/>
        <w:ind w:firstLine="420" w:firstLineChars="200"/>
        <w:rPr>
          <w:rFonts w:ascii="宋体" w:hAnsi="宋体" w:cs="宋体"/>
        </w:rPr>
      </w:pPr>
      <w:r>
        <w:rPr>
          <w:rFonts w:hint="eastAsia" w:ascii="宋体" w:hAnsi="宋体" w:cs="宋体"/>
        </w:rPr>
        <w:t>10.1比选文件包括：</w:t>
      </w:r>
    </w:p>
    <w:p w14:paraId="09A4E6FA">
      <w:pPr>
        <w:spacing w:line="540" w:lineRule="exact"/>
        <w:ind w:firstLine="518" w:firstLineChars="247"/>
        <w:rPr>
          <w:rFonts w:ascii="宋体" w:hAnsi="宋体" w:cs="宋体"/>
        </w:rPr>
      </w:pPr>
      <w:r>
        <w:rPr>
          <w:rFonts w:hint="eastAsia" w:ascii="宋体" w:hAnsi="宋体" w:cs="宋体"/>
        </w:rPr>
        <w:t>第一章 比选公告</w:t>
      </w:r>
    </w:p>
    <w:p w14:paraId="163DBF58">
      <w:pPr>
        <w:spacing w:line="540" w:lineRule="exact"/>
        <w:rPr>
          <w:rFonts w:ascii="宋体" w:hAnsi="宋体" w:cs="宋体"/>
        </w:rPr>
      </w:pPr>
      <w:r>
        <w:rPr>
          <w:rFonts w:hint="eastAsia" w:ascii="宋体" w:hAnsi="宋体" w:cs="宋体"/>
        </w:rPr>
        <w:t xml:space="preserve">     第二章 技术服务要求/项目要求</w:t>
      </w:r>
    </w:p>
    <w:p w14:paraId="59E24120">
      <w:pPr>
        <w:spacing w:line="540" w:lineRule="exact"/>
        <w:ind w:firstLine="525" w:firstLineChars="250"/>
        <w:rPr>
          <w:rFonts w:ascii="宋体" w:hAnsi="宋体" w:cs="宋体"/>
        </w:rPr>
      </w:pPr>
      <w:r>
        <w:rPr>
          <w:rFonts w:hint="eastAsia" w:ascii="宋体" w:hAnsi="宋体" w:cs="宋体"/>
        </w:rPr>
        <w:t>第三章 实质性响应审查</w:t>
      </w:r>
    </w:p>
    <w:p w14:paraId="57E93E44">
      <w:pPr>
        <w:spacing w:line="540" w:lineRule="exact"/>
        <w:ind w:firstLine="525" w:firstLineChars="250"/>
        <w:rPr>
          <w:rFonts w:ascii="宋体" w:hAnsi="宋体" w:cs="宋体"/>
        </w:rPr>
      </w:pPr>
      <w:r>
        <w:rPr>
          <w:rFonts w:hint="eastAsia" w:ascii="宋体" w:hAnsi="宋体" w:cs="宋体"/>
        </w:rPr>
        <w:t>第四章 评分办法</w:t>
      </w:r>
    </w:p>
    <w:p w14:paraId="2A06A825">
      <w:pPr>
        <w:spacing w:line="540" w:lineRule="exact"/>
        <w:ind w:firstLine="518" w:firstLineChars="247"/>
        <w:rPr>
          <w:rFonts w:ascii="宋体" w:hAnsi="宋体" w:cs="宋体"/>
        </w:rPr>
      </w:pPr>
      <w:r>
        <w:rPr>
          <w:rFonts w:hint="eastAsia" w:ascii="宋体" w:hAnsi="宋体" w:cs="宋体"/>
        </w:rPr>
        <w:t>第五章 供应商须知</w:t>
      </w:r>
    </w:p>
    <w:p w14:paraId="5C6D6D6E">
      <w:pPr>
        <w:spacing w:line="500" w:lineRule="exact"/>
        <w:ind w:firstLine="525" w:firstLineChars="250"/>
        <w:rPr>
          <w:rFonts w:ascii="宋体" w:hAnsi="宋体" w:cs="宋体"/>
        </w:rPr>
      </w:pPr>
      <w:r>
        <w:rPr>
          <w:rFonts w:hint="eastAsia" w:ascii="宋体" w:hAnsi="宋体" w:cs="宋体"/>
        </w:rPr>
        <w:t>第六章 比选响应文件</w:t>
      </w:r>
    </w:p>
    <w:p w14:paraId="6D0BF491">
      <w:pPr>
        <w:spacing w:line="500" w:lineRule="exact"/>
        <w:ind w:left="267" w:leftChars="127" w:firstLine="420" w:firstLineChars="200"/>
        <w:rPr>
          <w:rFonts w:ascii="宋体" w:hAnsi="宋体" w:cs="宋体"/>
        </w:rPr>
      </w:pPr>
      <w:r>
        <w:rPr>
          <w:rFonts w:hint="eastAsia" w:ascii="宋体" w:hAnsi="宋体" w:cs="宋体"/>
        </w:rPr>
        <w:t>10.2供应商应认真阅读和充分理解比选文件中所有的内容。如果其比选响应书没有满足比选文件的有关要求，其风险由供应商自行承担。</w:t>
      </w:r>
    </w:p>
    <w:p w14:paraId="7EB2562F">
      <w:pPr>
        <w:spacing w:line="500" w:lineRule="exact"/>
        <w:ind w:firstLine="632" w:firstLineChars="300"/>
        <w:rPr>
          <w:rFonts w:ascii="宋体" w:hAnsi="宋体" w:cs="宋体"/>
          <w:b/>
          <w:bCs/>
        </w:rPr>
      </w:pPr>
      <w:r>
        <w:rPr>
          <w:rFonts w:hint="eastAsia" w:ascii="宋体" w:hAnsi="宋体" w:cs="宋体"/>
          <w:b/>
          <w:bCs/>
        </w:rPr>
        <w:t>11、比选文件的澄清和修改</w:t>
      </w:r>
    </w:p>
    <w:p w14:paraId="1AA13E7D">
      <w:pPr>
        <w:spacing w:line="500" w:lineRule="exact"/>
        <w:ind w:firstLine="525" w:firstLineChars="250"/>
        <w:rPr>
          <w:rFonts w:ascii="宋体" w:hAnsi="宋体" w:cs="宋体"/>
        </w:rPr>
      </w:pPr>
      <w:r>
        <w:rPr>
          <w:rFonts w:hint="eastAsia" w:ascii="宋体" w:hAnsi="宋体" w:cs="宋体"/>
        </w:rPr>
        <w:t>11.1采购人可以对比选文件中的有关问题进行澄清、修改。</w:t>
      </w:r>
    </w:p>
    <w:p w14:paraId="36E70D2A">
      <w:pPr>
        <w:spacing w:line="500" w:lineRule="exact"/>
        <w:ind w:firstLine="525" w:firstLineChars="250"/>
        <w:rPr>
          <w:rFonts w:ascii="宋体" w:hAnsi="宋体" w:cs="宋体"/>
        </w:rPr>
      </w:pPr>
      <w:r>
        <w:rPr>
          <w:rFonts w:hint="eastAsia" w:ascii="宋体" w:hAnsi="宋体" w:cs="宋体"/>
        </w:rPr>
        <w:t>11.2采购人或者比选小组在提交首次比选响应文件截止时间前</w:t>
      </w:r>
      <w:r>
        <w:rPr>
          <w:rFonts w:hint="eastAsia" w:ascii="宋体" w:hAnsi="宋体" w:cs="宋体"/>
          <w:lang w:eastAsia="zh-CN"/>
        </w:rPr>
        <w:t>，</w:t>
      </w:r>
      <w:r>
        <w:rPr>
          <w:rFonts w:hint="eastAsia" w:ascii="宋体" w:hAnsi="宋体" w:cs="宋体"/>
        </w:rPr>
        <w:t>可以对已发出的比选文件进行必要的澄清或者修改，澄清或修改将在本项目采购公告发布的平台的答疑澄清栏中公布，但不指明问题的来源，所有潜在供应商均有义务自行查看该澄清或修改的内容。采购人或者比选小组对比选文件进行澄清或者修改的内容作为比选文件的组成部分。澄清或者修改的内容可能影响响应文件编制的，采购人应当在提交首次比选响应文件截止之日3日前发布，不足3日的，应当顺延提交响应文件截止之日。</w:t>
      </w:r>
    </w:p>
    <w:p w14:paraId="58F0D03C">
      <w:pPr>
        <w:spacing w:line="500" w:lineRule="exact"/>
        <w:ind w:firstLine="527" w:firstLineChars="250"/>
        <w:rPr>
          <w:rFonts w:ascii="宋体" w:hAnsi="宋体" w:cs="宋体"/>
        </w:rPr>
      </w:pPr>
      <w:r>
        <w:rPr>
          <w:rFonts w:hint="eastAsia" w:ascii="宋体" w:hAnsi="宋体" w:cs="宋体"/>
          <w:b/>
          <w:bCs/>
        </w:rPr>
        <w:t>12、比选文件的质疑和答复</w:t>
      </w:r>
    </w:p>
    <w:p w14:paraId="29716EAE">
      <w:pPr>
        <w:pStyle w:val="35"/>
        <w:widowControl w:val="0"/>
        <w:spacing w:line="500" w:lineRule="exact"/>
        <w:ind w:firstLine="420"/>
        <w:rPr>
          <w:rFonts w:ascii="宋体" w:hAnsi="宋体" w:cs="宋体"/>
        </w:rPr>
      </w:pPr>
      <w:r>
        <w:rPr>
          <w:rFonts w:hint="eastAsia" w:ascii="宋体" w:hAnsi="宋体" w:cs="宋体"/>
        </w:rPr>
        <w:t>12.1潜在供应商已依法获取本比选文件的（应提供依法获取比选文件的证明材料），可以对本比选文件提出质疑。质疑应当在获取比选文件或者比选文件公告期限届满之日起7个工作日内以书面形式向采购人提出，质疑函的内容应包括《政府采购质疑和投诉办法》（财政部令第94号）第十二条规定的内容，质疑函的格式可参照宿州市公共资源交易中心门户网站办事流程--资料下载中的质疑函范本。</w:t>
      </w:r>
    </w:p>
    <w:p w14:paraId="7FAFDDBA">
      <w:pPr>
        <w:pStyle w:val="35"/>
        <w:widowControl w:val="0"/>
        <w:spacing w:line="500" w:lineRule="exact"/>
        <w:ind w:firstLine="420"/>
        <w:rPr>
          <w:rFonts w:ascii="宋体" w:hAnsi="宋体" w:cs="宋体"/>
        </w:rPr>
      </w:pPr>
      <w:r>
        <w:rPr>
          <w:rFonts w:hint="eastAsia" w:ascii="宋体" w:hAnsi="宋体" w:cs="宋体"/>
        </w:rPr>
        <w:t>12.2供应商对比选文件有质疑的，应在法定质疑期内一次性提出，采购人不再接受同一供应商针对同一比选文件提出的再次质疑（对同一质疑的补充除外）。</w:t>
      </w:r>
    </w:p>
    <w:p w14:paraId="18DA2494">
      <w:pPr>
        <w:pStyle w:val="35"/>
        <w:widowControl w:val="0"/>
        <w:spacing w:line="500" w:lineRule="exact"/>
        <w:ind w:firstLine="420" w:firstLineChars="200"/>
        <w:rPr>
          <w:rFonts w:ascii="宋体" w:hAnsi="宋体" w:cs="宋体"/>
        </w:rPr>
      </w:pPr>
      <w:r>
        <w:rPr>
          <w:rFonts w:hint="eastAsia" w:ascii="宋体" w:hAnsi="宋体" w:cs="宋体"/>
        </w:rPr>
        <w:t>12.3采购人应当在收到质疑后7个工作日内作出答复。答复内容将在本项目发布公告的网站答疑澄清栏中公布，所有获取比选文件的潜在供应商均有义务自行查看该答复内容。</w:t>
      </w:r>
    </w:p>
    <w:p w14:paraId="03BA0CEC">
      <w:pPr>
        <w:spacing w:line="500" w:lineRule="exact"/>
        <w:ind w:left="1365" w:hanging="735"/>
        <w:rPr>
          <w:rFonts w:ascii="宋体" w:hAnsi="宋体" w:cs="宋体"/>
        </w:rPr>
      </w:pPr>
      <w:r>
        <w:rPr>
          <w:rFonts w:hint="eastAsia" w:ascii="宋体" w:hAnsi="宋体" w:cs="宋体"/>
        </w:rPr>
        <w:t xml:space="preserve"> </w:t>
      </w:r>
    </w:p>
    <w:p w14:paraId="138E7455">
      <w:pPr>
        <w:pStyle w:val="36"/>
        <w:jc w:val="both"/>
        <w:rPr>
          <w:rFonts w:cs="宋体"/>
          <w:color w:val="auto"/>
        </w:rPr>
      </w:pPr>
      <w:bookmarkStart w:id="18" w:name="_Toc511899307"/>
      <w:bookmarkEnd w:id="18"/>
      <w:bookmarkStart w:id="19" w:name="_Toc3727"/>
      <w:r>
        <w:rPr>
          <w:rFonts w:hint="eastAsia" w:cs="宋体"/>
          <w:color w:val="auto"/>
        </w:rPr>
        <w:t>三、比选响应文件的编制</w:t>
      </w:r>
      <w:bookmarkEnd w:id="19"/>
    </w:p>
    <w:p w14:paraId="5B119600">
      <w:pPr>
        <w:spacing w:line="500" w:lineRule="exact"/>
        <w:ind w:firstLine="517" w:firstLineChars="245"/>
        <w:rPr>
          <w:rFonts w:ascii="宋体" w:hAnsi="宋体" w:cs="宋体"/>
          <w:b/>
          <w:bCs/>
        </w:rPr>
      </w:pPr>
      <w:r>
        <w:rPr>
          <w:rFonts w:hint="eastAsia" w:ascii="宋体" w:hAnsi="宋体" w:cs="宋体"/>
          <w:b/>
          <w:bCs/>
        </w:rPr>
        <w:t>13、比选响应文件构成</w:t>
      </w:r>
    </w:p>
    <w:p w14:paraId="4CB475E3">
      <w:pPr>
        <w:spacing w:line="500" w:lineRule="exact"/>
        <w:ind w:firstLine="420" w:firstLineChars="200"/>
        <w:rPr>
          <w:rFonts w:ascii="宋体" w:hAnsi="宋体" w:cs="宋体"/>
        </w:rPr>
      </w:pPr>
      <w:r>
        <w:rPr>
          <w:rFonts w:hint="eastAsia" w:ascii="宋体" w:hAnsi="宋体" w:cs="宋体"/>
        </w:rPr>
        <w:t>13.1比选响应文件应包括下列内容：比选响应函格式、资格证明文件、商务要求响应情况表、技术规格响应表、货物服务技术方案、比选文件一览表、分项报价表等。</w:t>
      </w:r>
    </w:p>
    <w:p w14:paraId="421B50EB">
      <w:pPr>
        <w:spacing w:line="500" w:lineRule="exact"/>
        <w:ind w:firstLine="420" w:firstLineChars="200"/>
        <w:rPr>
          <w:rFonts w:ascii="宋体" w:hAnsi="宋体" w:cs="宋体"/>
        </w:rPr>
      </w:pPr>
      <w:r>
        <w:rPr>
          <w:rFonts w:hint="eastAsia" w:ascii="宋体" w:hAnsi="宋体" w:cs="宋体"/>
        </w:rPr>
        <w:t>13.1.1证明供应商合格的资格文件</w:t>
      </w:r>
    </w:p>
    <w:p w14:paraId="2CFC1DD7">
      <w:pPr>
        <w:spacing w:line="500" w:lineRule="exact"/>
        <w:ind w:firstLine="420" w:firstLineChars="200"/>
        <w:rPr>
          <w:rFonts w:ascii="宋体" w:hAnsi="宋体" w:cs="宋体"/>
        </w:rPr>
      </w:pPr>
      <w:r>
        <w:rPr>
          <w:rFonts w:hint="eastAsia" w:ascii="宋体" w:hAnsi="宋体" w:cs="宋体"/>
        </w:rPr>
        <w:t>应包括比选文件要求的证明，以及签约后有能力履行合同所必需的生产、技术、服务和财务管理等方面能力的证明文件。</w:t>
      </w:r>
    </w:p>
    <w:p w14:paraId="5F118C1B">
      <w:pPr>
        <w:spacing w:line="500" w:lineRule="exact"/>
        <w:ind w:firstLine="420" w:firstLineChars="200"/>
        <w:rPr>
          <w:rFonts w:ascii="宋体" w:hAnsi="宋体" w:cs="宋体"/>
        </w:rPr>
      </w:pPr>
      <w:r>
        <w:rPr>
          <w:rFonts w:hint="eastAsia" w:ascii="宋体" w:hAnsi="宋体" w:cs="宋体"/>
        </w:rPr>
        <w:t>13.1.2所有货物（包括零部件）须为全新的、未使用过的原装正品。</w:t>
      </w:r>
    </w:p>
    <w:p w14:paraId="3F38E131">
      <w:pPr>
        <w:spacing w:line="500" w:lineRule="exact"/>
        <w:ind w:firstLine="420" w:firstLineChars="200"/>
        <w:rPr>
          <w:rFonts w:ascii="宋体" w:hAnsi="宋体" w:cs="宋体"/>
        </w:rPr>
      </w:pPr>
      <w:r>
        <w:rPr>
          <w:rFonts w:hint="eastAsia" w:ascii="宋体" w:hAnsi="宋体" w:cs="宋体"/>
        </w:rPr>
        <w:t xml:space="preserve">13.2供应商必须对其比选响应文件的真实性与准确性负责。一旦签约，其比选响应文件将作为合同的重要组成部分。 </w:t>
      </w:r>
    </w:p>
    <w:p w14:paraId="0423F889">
      <w:pPr>
        <w:spacing w:line="500" w:lineRule="exact"/>
        <w:ind w:firstLine="420" w:firstLineChars="200"/>
        <w:rPr>
          <w:rFonts w:ascii="宋体" w:hAnsi="宋体" w:cs="宋体"/>
        </w:rPr>
      </w:pPr>
      <w:r>
        <w:rPr>
          <w:rFonts w:hint="eastAsia" w:ascii="宋体" w:hAnsi="宋体" w:cs="宋体"/>
        </w:rPr>
        <w:t>13.3供应商应在比选响应文件中体现本文件要求的内容。</w:t>
      </w:r>
    </w:p>
    <w:p w14:paraId="73024A2D">
      <w:pPr>
        <w:spacing w:line="500" w:lineRule="exact"/>
        <w:ind w:firstLine="422" w:firstLineChars="200"/>
        <w:rPr>
          <w:rFonts w:ascii="宋体" w:hAnsi="宋体" w:cs="宋体"/>
          <w:b/>
          <w:bCs/>
        </w:rPr>
      </w:pPr>
      <w:r>
        <w:rPr>
          <w:rFonts w:hint="eastAsia" w:ascii="宋体" w:hAnsi="宋体" w:cs="宋体"/>
          <w:b/>
          <w:bCs/>
        </w:rPr>
        <w:t>14、比选报价</w:t>
      </w:r>
    </w:p>
    <w:p w14:paraId="39E49935">
      <w:pPr>
        <w:spacing w:line="500" w:lineRule="exact"/>
        <w:ind w:firstLine="420" w:firstLineChars="200"/>
        <w:rPr>
          <w:rFonts w:ascii="宋体" w:hAnsi="宋体" w:cs="宋体"/>
        </w:rPr>
      </w:pPr>
      <w:r>
        <w:rPr>
          <w:rFonts w:hint="eastAsia" w:ascii="宋体" w:hAnsi="宋体" w:cs="宋体"/>
        </w:rPr>
        <w:t>14.1本项目只允许有一个方案、一个报价。多方案、多报价的比选响应文件将不被接受。</w:t>
      </w:r>
    </w:p>
    <w:p w14:paraId="11D65FA6">
      <w:pPr>
        <w:spacing w:line="500" w:lineRule="exact"/>
        <w:ind w:firstLine="420" w:firstLineChars="200"/>
        <w:rPr>
          <w:rFonts w:ascii="宋体" w:hAnsi="宋体" w:cs="宋体"/>
        </w:rPr>
      </w:pPr>
      <w:r>
        <w:rPr>
          <w:rFonts w:hint="eastAsia" w:ascii="宋体" w:hAnsi="宋体" w:cs="宋体"/>
        </w:rPr>
        <w:t>14.2货物类项目适用：比选文件一览表中的响应总报价应包括响应产品以及其产生的采购、运输、人工、安装、售后、验收、税费等所有费用，即为履行合同的最终价格。</w:t>
      </w:r>
    </w:p>
    <w:p w14:paraId="68200B2A">
      <w:pPr>
        <w:spacing w:line="500" w:lineRule="exact"/>
        <w:ind w:firstLine="420"/>
        <w:rPr>
          <w:rFonts w:ascii="宋体" w:hAnsi="宋体" w:cs="宋体"/>
        </w:rPr>
      </w:pPr>
      <w:r>
        <w:rPr>
          <w:rFonts w:hint="eastAsia" w:ascii="宋体" w:hAnsi="宋体" w:cs="宋体"/>
        </w:rPr>
        <w:t>服务类、工程类项目适用：比选文件一览表中的响应总报价应包括完成本项目的所有费用、税费等所有费用，即为履行合同的最终价格。</w:t>
      </w:r>
    </w:p>
    <w:p w14:paraId="30593C60">
      <w:pPr>
        <w:spacing w:line="500" w:lineRule="exact"/>
        <w:ind w:firstLine="420" w:firstLineChars="200"/>
        <w:rPr>
          <w:rFonts w:ascii="宋体" w:hAnsi="宋体" w:cs="宋体"/>
        </w:rPr>
      </w:pPr>
      <w:r>
        <w:rPr>
          <w:rFonts w:hint="eastAsia" w:ascii="宋体" w:hAnsi="宋体" w:cs="宋体"/>
        </w:rPr>
        <w:t>14.3货物类项目适用：货物服务分项报价表上应清楚地标明供应商拟提供货物的名称、型号、数量、单价（含意向参选产品所产生的采购、运输、人工、安装、售后、验收、税费等）、总价等内容，其合计价格应与比选文件一览表中的响应总报价保持一致。</w:t>
      </w:r>
    </w:p>
    <w:p w14:paraId="6A6DFADA">
      <w:pPr>
        <w:spacing w:line="500" w:lineRule="exact"/>
        <w:ind w:firstLine="420" w:firstLineChars="200"/>
        <w:rPr>
          <w:rFonts w:ascii="宋体" w:hAnsi="宋体" w:cs="宋体"/>
        </w:rPr>
      </w:pPr>
      <w:r>
        <w:rPr>
          <w:rFonts w:hint="eastAsia" w:ascii="宋体" w:hAnsi="宋体" w:cs="宋体"/>
        </w:rPr>
        <w:t>服务类、工程类项目适用：服务分项报价表上应清楚地标明供应商拟提供的服务或工程费用等内容，其合计价格应与比选文件一览表中的响应总报价保持一致。</w:t>
      </w:r>
    </w:p>
    <w:p w14:paraId="183D5E15">
      <w:pPr>
        <w:spacing w:line="500" w:lineRule="exact"/>
        <w:ind w:left="359" w:leftChars="171" w:firstLine="210" w:firstLineChars="100"/>
        <w:rPr>
          <w:rFonts w:ascii="宋体" w:hAnsi="宋体" w:cs="宋体"/>
        </w:rPr>
      </w:pPr>
      <w:r>
        <w:rPr>
          <w:rFonts w:hint="eastAsia" w:ascii="宋体" w:hAnsi="宋体" w:cs="宋体"/>
        </w:rPr>
        <w:t>14.4供应商意向参选的货币为人民币。</w:t>
      </w:r>
    </w:p>
    <w:p w14:paraId="054EF9CA">
      <w:pPr>
        <w:spacing w:line="500" w:lineRule="exact"/>
        <w:ind w:left="426"/>
        <w:rPr>
          <w:rFonts w:ascii="宋体" w:hAnsi="宋体" w:cs="宋体"/>
          <w:b/>
          <w:bCs/>
        </w:rPr>
      </w:pPr>
      <w:r>
        <w:rPr>
          <w:rFonts w:hint="eastAsia" w:ascii="宋体" w:hAnsi="宋体" w:cs="宋体"/>
          <w:b/>
          <w:bCs/>
        </w:rPr>
        <w:t>15、比选保证金（本项不适用）</w:t>
      </w:r>
    </w:p>
    <w:p w14:paraId="41D169AA">
      <w:pPr>
        <w:spacing w:line="540" w:lineRule="exact"/>
        <w:ind w:firstLine="525" w:firstLineChars="250"/>
        <w:rPr>
          <w:rFonts w:ascii="宋体" w:hAnsi="宋体" w:cs="宋体"/>
        </w:rPr>
      </w:pPr>
      <w:r>
        <w:rPr>
          <w:rFonts w:hint="eastAsia" w:ascii="宋体" w:hAnsi="宋体" w:cs="宋体"/>
        </w:rPr>
        <w:t>15.1供应商在提交比选响应文件的同时，应按供应商须知前附表规定的金额和形式提交比选保证金。联合体参加比选的，其比选保证金由牵头人提交，并应符合供应商须知前附表的规定。</w:t>
      </w:r>
    </w:p>
    <w:p w14:paraId="19CF69D7">
      <w:pPr>
        <w:spacing w:before="93" w:after="93" w:line="540" w:lineRule="exact"/>
        <w:ind w:firstLine="525" w:firstLineChars="250"/>
        <w:rPr>
          <w:rFonts w:ascii="宋体" w:hAnsi="宋体" w:cs="宋体"/>
        </w:rPr>
      </w:pPr>
      <w:r>
        <w:rPr>
          <w:rFonts w:hint="eastAsia" w:ascii="宋体" w:hAnsi="宋体" w:cs="宋体"/>
        </w:rPr>
        <w:t>15.2供应商不按供应商须知前附表要求提交比选保证金的，其响应文件无效。</w:t>
      </w:r>
    </w:p>
    <w:p w14:paraId="451C10BB">
      <w:pPr>
        <w:spacing w:before="93" w:after="93" w:line="540" w:lineRule="exact"/>
        <w:ind w:firstLine="525" w:firstLineChars="250"/>
        <w:rPr>
          <w:rFonts w:ascii="宋体" w:hAnsi="宋体" w:cs="宋体"/>
        </w:rPr>
      </w:pPr>
      <w:r>
        <w:rPr>
          <w:rFonts w:hint="eastAsia" w:ascii="宋体" w:hAnsi="宋体" w:cs="宋体"/>
        </w:rPr>
        <w:t>15.3未成交供应商的比选保证金应当在成交通知书发出后5个工作日内退还。</w:t>
      </w:r>
    </w:p>
    <w:p w14:paraId="60BAB58A">
      <w:pPr>
        <w:spacing w:line="500" w:lineRule="exact"/>
        <w:ind w:firstLine="525" w:firstLineChars="250"/>
        <w:rPr>
          <w:rFonts w:ascii="宋体" w:hAnsi="宋体" w:cs="宋体"/>
        </w:rPr>
      </w:pPr>
      <w:r>
        <w:rPr>
          <w:rFonts w:hint="eastAsia" w:ascii="宋体" w:hAnsi="宋体" w:cs="宋体"/>
        </w:rPr>
        <w:t>15.4成交供应商的比选保证金应当在采购合同签订后5个工作日内退还。</w:t>
      </w:r>
    </w:p>
    <w:p w14:paraId="75D366A4">
      <w:pPr>
        <w:spacing w:line="500" w:lineRule="exact"/>
        <w:ind w:firstLine="525" w:firstLineChars="250"/>
        <w:rPr>
          <w:rFonts w:ascii="宋体" w:hAnsi="宋体" w:cs="宋体"/>
        </w:rPr>
      </w:pPr>
      <w:r>
        <w:rPr>
          <w:rFonts w:hint="eastAsia" w:ascii="宋体" w:hAnsi="宋体" w:cs="宋体"/>
        </w:rPr>
        <w:t>15.5有下列情形之一的，不予退还比选保证金，上缴财政：</w:t>
      </w:r>
    </w:p>
    <w:p w14:paraId="4A1596EA">
      <w:pPr>
        <w:spacing w:line="500" w:lineRule="exact"/>
        <w:ind w:firstLine="525" w:firstLineChars="250"/>
        <w:rPr>
          <w:rFonts w:ascii="宋体" w:hAnsi="宋体" w:cs="宋体"/>
        </w:rPr>
      </w:pPr>
      <w:r>
        <w:rPr>
          <w:rFonts w:hint="eastAsia" w:ascii="宋体" w:hAnsi="宋体" w:cs="宋体"/>
        </w:rPr>
        <w:t>15.5.1供应商在提交响应文件截止时间后撤回响应文件的；</w:t>
      </w:r>
    </w:p>
    <w:p w14:paraId="394B7A3B">
      <w:pPr>
        <w:spacing w:line="500" w:lineRule="exact"/>
        <w:ind w:firstLine="525" w:firstLineChars="250"/>
        <w:rPr>
          <w:rFonts w:ascii="宋体" w:hAnsi="宋体" w:cs="宋体"/>
        </w:rPr>
      </w:pPr>
      <w:r>
        <w:rPr>
          <w:rFonts w:hint="eastAsia" w:ascii="宋体" w:hAnsi="宋体" w:cs="宋体"/>
        </w:rPr>
        <w:t>15.5.2供应商在响应文件中提供虚假材料的；</w:t>
      </w:r>
    </w:p>
    <w:p w14:paraId="1F9D0081">
      <w:pPr>
        <w:spacing w:line="500" w:lineRule="exact"/>
        <w:ind w:firstLine="525" w:firstLineChars="250"/>
        <w:rPr>
          <w:rFonts w:ascii="宋体" w:hAnsi="宋体" w:cs="宋体"/>
        </w:rPr>
      </w:pPr>
      <w:r>
        <w:rPr>
          <w:rFonts w:hint="eastAsia" w:ascii="宋体" w:hAnsi="宋体" w:cs="宋体"/>
        </w:rPr>
        <w:t>15.5.3除因不可抗力或比选文件认可的情形以外，成交供应商不与采购人签订合同的；</w:t>
      </w:r>
    </w:p>
    <w:p w14:paraId="65290AE2">
      <w:pPr>
        <w:spacing w:line="500" w:lineRule="exact"/>
        <w:ind w:firstLine="525" w:firstLineChars="250"/>
        <w:rPr>
          <w:rFonts w:ascii="宋体" w:hAnsi="宋体" w:cs="宋体"/>
        </w:rPr>
      </w:pPr>
      <w:r>
        <w:rPr>
          <w:rFonts w:hint="eastAsia" w:ascii="宋体" w:hAnsi="宋体" w:cs="宋体"/>
        </w:rPr>
        <w:t>15.5.4供应商与采购人、其他供应商或构恶意串通的；</w:t>
      </w:r>
    </w:p>
    <w:p w14:paraId="72937EE1">
      <w:pPr>
        <w:spacing w:line="500" w:lineRule="exact"/>
        <w:ind w:firstLine="525" w:firstLineChars="250"/>
        <w:rPr>
          <w:rFonts w:ascii="宋体" w:hAnsi="宋体" w:cs="宋体"/>
          <w:kern w:val="0"/>
        </w:rPr>
      </w:pPr>
      <w:r>
        <w:rPr>
          <w:rFonts w:hint="eastAsia" w:ascii="宋体" w:hAnsi="宋体" w:cs="宋体"/>
        </w:rPr>
        <w:t>15.5.5</w:t>
      </w:r>
      <w:r>
        <w:rPr>
          <w:rFonts w:hint="eastAsia" w:ascii="宋体" w:hAnsi="宋体" w:cs="宋体"/>
          <w:kern w:val="0"/>
        </w:rPr>
        <w:t>供应商在规定的比选有效期内撤销或修改其比选响应文件或放弃候选供应商资格的；</w:t>
      </w:r>
    </w:p>
    <w:p w14:paraId="1F776478">
      <w:pPr>
        <w:spacing w:line="500" w:lineRule="exact"/>
        <w:ind w:firstLine="525" w:firstLineChars="250"/>
        <w:rPr>
          <w:rFonts w:ascii="宋体" w:hAnsi="宋体" w:cs="宋体"/>
          <w:b/>
          <w:bCs/>
        </w:rPr>
      </w:pPr>
      <w:r>
        <w:rPr>
          <w:rFonts w:hint="eastAsia" w:ascii="宋体" w:hAnsi="宋体" w:cs="宋体"/>
          <w:kern w:val="0"/>
        </w:rPr>
        <w:t>15.5.6成交人在收到签约通知书后，未按比选文件规定提交履约担保。</w:t>
      </w:r>
    </w:p>
    <w:p w14:paraId="42560445">
      <w:pPr>
        <w:spacing w:line="500" w:lineRule="exact"/>
        <w:ind w:left="426"/>
        <w:rPr>
          <w:rFonts w:ascii="宋体" w:hAnsi="宋体" w:cs="宋体"/>
          <w:b/>
          <w:bCs/>
        </w:rPr>
      </w:pPr>
      <w:r>
        <w:rPr>
          <w:rFonts w:hint="eastAsia" w:ascii="宋体" w:hAnsi="宋体" w:cs="宋体"/>
          <w:b/>
          <w:bCs/>
        </w:rPr>
        <w:t>16、比选有效期</w:t>
      </w:r>
    </w:p>
    <w:p w14:paraId="78EE9923">
      <w:pPr>
        <w:spacing w:line="500" w:lineRule="exact"/>
        <w:ind w:firstLine="514" w:firstLineChars="245"/>
        <w:rPr>
          <w:rFonts w:ascii="宋体" w:hAnsi="宋体" w:cs="宋体"/>
          <w:b/>
          <w:bCs/>
        </w:rPr>
      </w:pPr>
      <w:r>
        <w:rPr>
          <w:rFonts w:hint="eastAsia" w:ascii="宋体" w:hAnsi="宋体" w:cs="宋体"/>
        </w:rPr>
        <w:t>16.1比选有效期在“供应商须知前附表”中有明确的规定。供应商如未就此提出异议，则视同接受；如承诺的比选有效期短于此规定时间的，将被视为非响应性意向参选而予以拒绝。</w:t>
      </w:r>
    </w:p>
    <w:p w14:paraId="7475DE41">
      <w:pPr>
        <w:pStyle w:val="35"/>
        <w:widowControl w:val="0"/>
        <w:spacing w:line="500" w:lineRule="exact"/>
        <w:ind w:firstLine="420"/>
        <w:rPr>
          <w:rFonts w:ascii="宋体" w:hAnsi="宋体" w:cs="宋体"/>
        </w:rPr>
      </w:pPr>
      <w:r>
        <w:rPr>
          <w:rFonts w:hint="eastAsia" w:ascii="宋体" w:hAnsi="宋体" w:cs="宋体"/>
        </w:rPr>
        <w:t>16.2在特殊情况下，采购单位可于原比选有效期满之前，向供应商提出延长比选有效期的要求。供应商同意延长的，应相应延长其比选保证金的有效期，但不得要求或被允许修改或撤销其比选响应文件。供应商拒绝延长的，可以书面形式拒绝采购单位的这种要求而不失去其比选保证金。如在规定的时间内未提出书面意见表示拒绝，将视为同意延长比选有效期。</w:t>
      </w:r>
    </w:p>
    <w:p w14:paraId="68DC5E45">
      <w:pPr>
        <w:spacing w:line="500" w:lineRule="exact"/>
        <w:ind w:firstLine="525" w:firstLineChars="250"/>
        <w:rPr>
          <w:rFonts w:ascii="宋体" w:hAnsi="宋体" w:cs="宋体"/>
        </w:rPr>
      </w:pPr>
      <w:r>
        <w:rPr>
          <w:rFonts w:hint="eastAsia" w:ascii="宋体" w:hAnsi="宋体" w:cs="宋体"/>
        </w:rPr>
        <w:t>16.3在比选有效期内，供应商撤销或修改其比选响应文件的，应承担责任。</w:t>
      </w:r>
    </w:p>
    <w:p w14:paraId="6919643E">
      <w:pPr>
        <w:spacing w:line="500" w:lineRule="exact"/>
        <w:ind w:left="426"/>
        <w:rPr>
          <w:rFonts w:ascii="宋体" w:hAnsi="宋体" w:cs="宋体"/>
          <w:b/>
          <w:bCs/>
        </w:rPr>
      </w:pPr>
      <w:r>
        <w:rPr>
          <w:rFonts w:hint="eastAsia" w:ascii="宋体" w:hAnsi="宋体" w:cs="宋体"/>
          <w:b/>
          <w:bCs/>
        </w:rPr>
        <w:t>17、比选响应文件签署</w:t>
      </w:r>
    </w:p>
    <w:p w14:paraId="0E277CF0">
      <w:pPr>
        <w:spacing w:line="500" w:lineRule="exact"/>
        <w:ind w:firstLine="525" w:firstLineChars="250"/>
        <w:rPr>
          <w:rFonts w:ascii="宋体" w:hAnsi="宋体" w:cs="宋体"/>
        </w:rPr>
      </w:pPr>
      <w:r>
        <w:rPr>
          <w:rFonts w:hint="eastAsia" w:ascii="宋体" w:hAnsi="宋体" w:cs="宋体"/>
        </w:rPr>
        <w:t>17.1比选响应文件应由供应商的法定代表人或其被授权代表正确签署。被授权代表须将法定代表人以书面形式出具的“法定代表人授权书”附在比选响应文件中。</w:t>
      </w:r>
    </w:p>
    <w:p w14:paraId="1BF0B192">
      <w:pPr>
        <w:spacing w:line="500" w:lineRule="exact"/>
        <w:ind w:firstLine="525" w:firstLineChars="250"/>
        <w:rPr>
          <w:rFonts w:ascii="宋体" w:hAnsi="宋体" w:cs="宋体"/>
        </w:rPr>
      </w:pPr>
      <w:r>
        <w:rPr>
          <w:rFonts w:hint="eastAsia" w:ascii="宋体" w:hAnsi="宋体" w:cs="宋体"/>
        </w:rPr>
        <w:t>17.2比选响应文件不得行间插字、涂改或增删。如有修改错漏处，必须由供应商的法定代表人或其授权代表签字。</w:t>
      </w:r>
    </w:p>
    <w:p w14:paraId="7BD8F238">
      <w:pPr>
        <w:spacing w:line="500" w:lineRule="exact"/>
        <w:rPr>
          <w:rFonts w:ascii="宋体" w:hAnsi="宋体" w:cs="宋体"/>
        </w:rPr>
      </w:pPr>
      <w:r>
        <w:rPr>
          <w:rFonts w:hint="eastAsia" w:ascii="宋体" w:hAnsi="宋体" w:cs="宋体"/>
        </w:rPr>
        <w:t xml:space="preserve"> </w:t>
      </w:r>
    </w:p>
    <w:p w14:paraId="4CD159C9">
      <w:pPr>
        <w:pStyle w:val="36"/>
        <w:jc w:val="both"/>
        <w:rPr>
          <w:rFonts w:cs="宋体"/>
          <w:color w:val="auto"/>
        </w:rPr>
      </w:pPr>
      <w:bookmarkStart w:id="20" w:name="_Toc15553"/>
      <w:r>
        <w:rPr>
          <w:rFonts w:hint="eastAsia" w:cs="宋体"/>
          <w:color w:val="auto"/>
        </w:rPr>
        <w:t>四、比选响应文件的提交</w:t>
      </w:r>
      <w:bookmarkEnd w:id="20"/>
    </w:p>
    <w:p w14:paraId="166E4F36">
      <w:pPr>
        <w:numPr>
          <w:ilvl w:val="0"/>
          <w:numId w:val="4"/>
        </w:numPr>
        <w:spacing w:before="93" w:after="93" w:line="540" w:lineRule="exact"/>
        <w:ind w:firstLine="420"/>
        <w:rPr>
          <w:rFonts w:ascii="宋体" w:hAnsi="宋体" w:cs="宋体"/>
          <w:b/>
          <w:bCs/>
        </w:rPr>
      </w:pPr>
      <w:r>
        <w:rPr>
          <w:rFonts w:hint="eastAsia" w:ascii="宋体" w:hAnsi="宋体" w:cs="宋体"/>
          <w:b/>
          <w:bCs/>
        </w:rPr>
        <w:t>比选响应文件的提交</w:t>
      </w:r>
    </w:p>
    <w:p w14:paraId="20E18045">
      <w:pPr>
        <w:spacing w:line="420" w:lineRule="exact"/>
        <w:ind w:firstLine="390"/>
        <w:rPr>
          <w:rFonts w:ascii="宋体" w:hAnsi="宋体" w:cs="宋体"/>
          <w:kern w:val="1"/>
        </w:rPr>
      </w:pPr>
      <w:r>
        <w:rPr>
          <w:rFonts w:hint="eastAsia" w:ascii="宋体" w:hAnsi="宋体" w:cs="宋体"/>
          <w:kern w:val="1"/>
        </w:rPr>
        <w:t>19.2.1 采购人应在本章第2.2.2项规定的比选截止时间前递交响应文件。</w:t>
      </w:r>
    </w:p>
    <w:p w14:paraId="06028CA5">
      <w:pPr>
        <w:spacing w:line="420" w:lineRule="exact"/>
        <w:ind w:firstLine="390"/>
        <w:rPr>
          <w:rFonts w:ascii="宋体" w:hAnsi="宋体" w:cs="宋体"/>
          <w:kern w:val="1"/>
        </w:rPr>
      </w:pPr>
      <w:r>
        <w:rPr>
          <w:rFonts w:hint="eastAsia" w:ascii="宋体" w:hAnsi="宋体" w:cs="宋体"/>
          <w:kern w:val="1"/>
        </w:rPr>
        <w:t>19.2.2 采购人递交投响应件的地点：按采购公告约定方式执行。</w:t>
      </w:r>
    </w:p>
    <w:p w14:paraId="2ADA448C">
      <w:pPr>
        <w:spacing w:line="420" w:lineRule="exact"/>
        <w:ind w:firstLine="390"/>
        <w:rPr>
          <w:rFonts w:ascii="宋体" w:hAnsi="宋体" w:cs="宋体"/>
          <w:kern w:val="1"/>
        </w:rPr>
      </w:pPr>
      <w:r>
        <w:rPr>
          <w:rFonts w:hint="eastAsia" w:ascii="宋体" w:hAnsi="宋体" w:cs="宋体"/>
          <w:kern w:val="1"/>
        </w:rPr>
        <w:t>19.2.3采购人所递交的响应文件不予退还。</w:t>
      </w:r>
    </w:p>
    <w:p w14:paraId="128487F4">
      <w:pPr>
        <w:spacing w:line="420" w:lineRule="exact"/>
        <w:ind w:firstLine="390"/>
        <w:rPr>
          <w:rFonts w:ascii="宋体" w:hAnsi="宋体" w:cs="宋体"/>
          <w:kern w:val="1"/>
        </w:rPr>
      </w:pPr>
      <w:r>
        <w:rPr>
          <w:rFonts w:hint="eastAsia" w:ascii="宋体" w:hAnsi="宋体" w:cs="宋体"/>
          <w:kern w:val="1"/>
        </w:rPr>
        <w:t>19.2.5 逾期送达的或者未送达指定地点的响应文件，采购人不予受理。</w:t>
      </w:r>
    </w:p>
    <w:p w14:paraId="01604DFF">
      <w:pPr>
        <w:spacing w:line="420" w:lineRule="exact"/>
        <w:ind w:firstLine="390"/>
        <w:rPr>
          <w:rFonts w:ascii="宋体" w:hAnsi="宋体" w:cs="宋体"/>
          <w:kern w:val="1"/>
        </w:rPr>
      </w:pPr>
      <w:r>
        <w:rPr>
          <w:rFonts w:hint="eastAsia" w:ascii="宋体" w:hAnsi="宋体" w:cs="宋体"/>
          <w:kern w:val="1"/>
        </w:rPr>
        <w:t>19.2.6在特殊情况下，采购人如果决定延后比选截止时间，应在供应商须知前附表规定的时间前，以书面形式通知所有供应商延后意向参选截止时间。在此情况下，采购人和供应商的权利和义务相应延后至新的比选截止时间。</w:t>
      </w:r>
    </w:p>
    <w:p w14:paraId="669CE582">
      <w:pPr>
        <w:pStyle w:val="19"/>
        <w:ind w:left="0" w:leftChars="0" w:firstLine="0" w:firstLineChars="0"/>
        <w:rPr>
          <w:rFonts w:ascii="宋体" w:hAnsi="宋体" w:eastAsia="宋体" w:cs="宋体"/>
        </w:rPr>
      </w:pPr>
    </w:p>
    <w:p w14:paraId="2C1D9D12">
      <w:pPr>
        <w:spacing w:line="500" w:lineRule="exact"/>
        <w:ind w:firstLine="422" w:firstLineChars="200"/>
        <w:rPr>
          <w:rFonts w:ascii="宋体" w:hAnsi="宋体" w:cs="宋体"/>
          <w:b/>
          <w:bCs/>
        </w:rPr>
      </w:pPr>
      <w:r>
        <w:rPr>
          <w:rFonts w:hint="eastAsia" w:ascii="宋体" w:hAnsi="宋体" w:cs="宋体"/>
          <w:b/>
          <w:bCs/>
        </w:rPr>
        <w:t>20、比选响应文件的修改和撤回</w:t>
      </w:r>
    </w:p>
    <w:p w14:paraId="071F8F9D">
      <w:pPr>
        <w:pStyle w:val="35"/>
        <w:widowControl w:val="0"/>
        <w:spacing w:line="400" w:lineRule="atLeast"/>
        <w:ind w:firstLine="420"/>
        <w:rPr>
          <w:rFonts w:ascii="宋体" w:hAnsi="宋体" w:cs="宋体"/>
        </w:rPr>
      </w:pPr>
      <w:r>
        <w:rPr>
          <w:rFonts w:hint="eastAsia" w:ascii="宋体" w:hAnsi="宋体" w:cs="宋体"/>
        </w:rPr>
        <w:t>20.1在供应商须知前附表规定的比选响应文件提交截止时间前，供应商可以修改或撤回已提交的比选响应文件。</w:t>
      </w:r>
    </w:p>
    <w:p w14:paraId="60D525DE">
      <w:pPr>
        <w:pStyle w:val="35"/>
        <w:widowControl w:val="0"/>
        <w:spacing w:line="400" w:lineRule="atLeast"/>
        <w:ind w:firstLine="420"/>
        <w:rPr>
          <w:rFonts w:ascii="宋体" w:hAnsi="宋体" w:cs="宋体"/>
        </w:rPr>
      </w:pPr>
      <w:r>
        <w:rPr>
          <w:rFonts w:hint="eastAsia" w:ascii="宋体" w:hAnsi="宋体" w:cs="宋体"/>
        </w:rPr>
        <w:t>20.2供应商撤回比选响应文件的，受托人自收到供应商书面撤回通知之日起5个工作日内退还已收取的比选保证金。</w:t>
      </w:r>
    </w:p>
    <w:p w14:paraId="6C1A9973">
      <w:pPr>
        <w:spacing w:line="500" w:lineRule="exact"/>
        <w:rPr>
          <w:rFonts w:ascii="宋体" w:hAnsi="宋体" w:cs="宋体"/>
        </w:rPr>
      </w:pPr>
      <w:r>
        <w:rPr>
          <w:rFonts w:hint="eastAsia" w:ascii="宋体" w:hAnsi="宋体" w:cs="宋体"/>
        </w:rPr>
        <w:t xml:space="preserve"> </w:t>
      </w:r>
    </w:p>
    <w:p w14:paraId="537DCEE1">
      <w:pPr>
        <w:pStyle w:val="36"/>
        <w:jc w:val="both"/>
        <w:rPr>
          <w:rFonts w:cs="宋体"/>
          <w:color w:val="auto"/>
        </w:rPr>
      </w:pPr>
      <w:bookmarkStart w:id="21" w:name="_Toc9002"/>
      <w:r>
        <w:rPr>
          <w:rFonts w:hint="eastAsia" w:cs="宋体"/>
          <w:color w:val="auto"/>
        </w:rPr>
        <w:t>五、比选与评审</w:t>
      </w:r>
      <w:bookmarkEnd w:id="21"/>
    </w:p>
    <w:p w14:paraId="1C76828E">
      <w:pPr>
        <w:spacing w:line="360" w:lineRule="auto"/>
        <w:ind w:firstLine="517" w:firstLineChars="245"/>
        <w:rPr>
          <w:rFonts w:ascii="宋体" w:hAnsi="宋体" w:cs="宋体"/>
          <w:b/>
          <w:bCs/>
        </w:rPr>
      </w:pPr>
      <w:r>
        <w:rPr>
          <w:rFonts w:hint="eastAsia" w:ascii="宋体" w:hAnsi="宋体" w:cs="宋体"/>
          <w:b/>
          <w:bCs/>
        </w:rPr>
        <w:t>22、比选</w:t>
      </w:r>
    </w:p>
    <w:p w14:paraId="097B3BE2">
      <w:pPr>
        <w:spacing w:before="93" w:beforeLines="30" w:after="93" w:afterLines="30" w:line="540" w:lineRule="exact"/>
        <w:ind w:firstLine="525" w:firstLineChars="250"/>
        <w:rPr>
          <w:rFonts w:ascii="宋体" w:hAnsi="宋体" w:cs="宋体"/>
          <w:bCs/>
        </w:rPr>
      </w:pPr>
      <w:r>
        <w:rPr>
          <w:rFonts w:hint="eastAsia" w:ascii="宋体" w:hAnsi="宋体" w:cs="宋体"/>
        </w:rPr>
        <w:t>22.1采购单位将在“采购公告”规定的时间和地点组织比选。</w:t>
      </w:r>
    </w:p>
    <w:p w14:paraId="57B50CB7">
      <w:pPr>
        <w:spacing w:line="360" w:lineRule="auto"/>
        <w:ind w:firstLine="420" w:firstLineChars="200"/>
        <w:rPr>
          <w:rFonts w:ascii="宋体" w:hAnsi="宋体" w:cs="宋体"/>
        </w:rPr>
      </w:pPr>
      <w:r>
        <w:rPr>
          <w:rFonts w:hint="eastAsia" w:ascii="宋体" w:hAnsi="宋体" w:cs="宋体"/>
        </w:rPr>
        <w:t>22.2采购单位按规定组成三人或以上的比选小组。</w:t>
      </w:r>
    </w:p>
    <w:p w14:paraId="57B5AA7C">
      <w:pPr>
        <w:spacing w:line="360" w:lineRule="auto"/>
        <w:ind w:firstLine="420" w:firstLineChars="200"/>
        <w:rPr>
          <w:rFonts w:ascii="宋体" w:hAnsi="宋体" w:cs="宋体"/>
          <w:b/>
          <w:bCs/>
        </w:rPr>
      </w:pPr>
      <w:r>
        <w:rPr>
          <w:rFonts w:hint="eastAsia" w:ascii="宋体" w:hAnsi="宋体" w:cs="宋体"/>
        </w:rPr>
        <w:t>比选小组成员有下列情形之一的，应当回避：</w:t>
      </w:r>
    </w:p>
    <w:p w14:paraId="6F5A475D">
      <w:pPr>
        <w:pStyle w:val="35"/>
        <w:widowControl w:val="0"/>
        <w:spacing w:line="500" w:lineRule="exact"/>
        <w:ind w:firstLine="420" w:firstLineChars="200"/>
        <w:rPr>
          <w:rFonts w:ascii="宋体" w:hAnsi="宋体" w:cs="宋体"/>
        </w:rPr>
      </w:pPr>
      <w:r>
        <w:rPr>
          <w:rFonts w:hint="eastAsia" w:ascii="宋体" w:hAnsi="宋体" w:cs="宋体"/>
        </w:rPr>
        <w:t>（1）参加采购活动前三年内，与供应商存在劳动关系，或者担任过供应商的董事、监事，或者是供应商的控股股东或实际控制人；</w:t>
      </w:r>
    </w:p>
    <w:p w14:paraId="75709F56">
      <w:pPr>
        <w:pStyle w:val="35"/>
        <w:widowControl w:val="0"/>
        <w:spacing w:line="500" w:lineRule="exact"/>
        <w:ind w:firstLine="420" w:firstLineChars="200"/>
        <w:rPr>
          <w:rFonts w:ascii="宋体" w:hAnsi="宋体" w:cs="宋体"/>
        </w:rPr>
      </w:pPr>
      <w:r>
        <w:rPr>
          <w:rFonts w:hint="eastAsia" w:ascii="宋体" w:hAnsi="宋体" w:cs="宋体"/>
        </w:rPr>
        <w:t>（2）与供应商的法定代表人或者负责人有夫妻、直系血亲、三代以内旁系血亲或者近姻亲关系；</w:t>
      </w:r>
    </w:p>
    <w:p w14:paraId="7C9D9D73">
      <w:pPr>
        <w:pStyle w:val="35"/>
        <w:widowControl w:val="0"/>
        <w:spacing w:line="500" w:lineRule="exact"/>
        <w:ind w:firstLine="420" w:firstLineChars="200"/>
        <w:rPr>
          <w:rFonts w:ascii="宋体" w:hAnsi="宋体" w:cs="宋体"/>
        </w:rPr>
      </w:pPr>
      <w:r>
        <w:rPr>
          <w:rFonts w:hint="eastAsia" w:ascii="宋体" w:hAnsi="宋体" w:cs="宋体"/>
        </w:rPr>
        <w:t>（3）与供应商有其他可能影响采购活动公平、公正进行的关系。</w:t>
      </w:r>
    </w:p>
    <w:p w14:paraId="45AE44AE">
      <w:pPr>
        <w:pStyle w:val="35"/>
        <w:widowControl w:val="0"/>
        <w:spacing w:line="500" w:lineRule="exact"/>
        <w:ind w:firstLine="420" w:firstLineChars="200"/>
        <w:rPr>
          <w:rFonts w:ascii="宋体" w:hAnsi="宋体" w:cs="宋体"/>
        </w:rPr>
      </w:pPr>
      <w:r>
        <w:rPr>
          <w:rFonts w:hint="eastAsia" w:ascii="宋体" w:hAnsi="宋体" w:cs="宋体"/>
        </w:rPr>
        <w:t>另外，比选小组成员发现本人与参加采购活动的供应商有利害关系的，应当主动提出回避。采购人发现评审专家与参加采购活动的供应商有利害关系的，应当要求其回避。</w:t>
      </w:r>
    </w:p>
    <w:p w14:paraId="498DA373">
      <w:pPr>
        <w:spacing w:line="360" w:lineRule="auto"/>
        <w:ind w:firstLine="420" w:firstLineChars="200"/>
        <w:rPr>
          <w:rFonts w:ascii="宋体" w:hAnsi="宋体" w:cs="宋体"/>
        </w:rPr>
      </w:pPr>
      <w:r>
        <w:rPr>
          <w:rFonts w:hint="eastAsia" w:ascii="宋体" w:hAnsi="宋体" w:cs="宋体"/>
        </w:rPr>
        <w:t>比选小组成员应当按照客观、公正、审慎的原则，根据比选文件规定的评审程序、评审方法和评审标准进行独立评审。未实质性响应比选文件的响应文件按无效响应处理，比选小组应当告知提交响应文件的供应商。</w:t>
      </w:r>
    </w:p>
    <w:p w14:paraId="59C43D41">
      <w:pPr>
        <w:spacing w:line="360" w:lineRule="auto"/>
        <w:ind w:firstLine="420" w:firstLineChars="200"/>
        <w:rPr>
          <w:rFonts w:ascii="宋体" w:hAnsi="宋体" w:cs="宋体"/>
        </w:rPr>
      </w:pPr>
      <w:r>
        <w:rPr>
          <w:rFonts w:hint="eastAsia" w:ascii="宋体" w:hAnsi="宋体" w:cs="宋体"/>
        </w:rPr>
        <w:t>22.3比选活动采用综合评分法评审。</w:t>
      </w:r>
    </w:p>
    <w:p w14:paraId="586ED595">
      <w:pPr>
        <w:spacing w:line="360" w:lineRule="auto"/>
        <w:ind w:firstLine="420" w:firstLineChars="200"/>
        <w:rPr>
          <w:rFonts w:ascii="宋体" w:hAnsi="宋体" w:cs="宋体"/>
        </w:rPr>
      </w:pPr>
      <w:r>
        <w:rPr>
          <w:rFonts w:hint="eastAsia" w:ascii="宋体" w:hAnsi="宋体" w:cs="宋体"/>
        </w:rPr>
        <w:t>综合评分法，是指响应文件满足比选文件全部实质性要求且按评审因素的量化指标评审得分最高的供应商为成交候选供应商的评审方法。</w:t>
      </w:r>
    </w:p>
    <w:p w14:paraId="2F048F58">
      <w:pPr>
        <w:spacing w:line="360" w:lineRule="auto"/>
        <w:ind w:firstLine="420" w:firstLineChars="200"/>
        <w:rPr>
          <w:rFonts w:ascii="宋体" w:hAnsi="宋体" w:cs="宋体"/>
        </w:rPr>
      </w:pPr>
      <w:r>
        <w:rPr>
          <w:rFonts w:hint="eastAsia" w:ascii="宋体" w:hAnsi="宋体" w:cs="宋体"/>
        </w:rPr>
        <w:t>22.4为保证比选活动顺利进行，供应商可派相关技术人员进行现场答疑。</w:t>
      </w:r>
    </w:p>
    <w:p w14:paraId="5CFBF11E">
      <w:pPr>
        <w:spacing w:line="360" w:lineRule="auto"/>
        <w:ind w:firstLine="422" w:firstLineChars="200"/>
        <w:rPr>
          <w:rFonts w:ascii="宋体" w:hAnsi="宋体" w:cs="宋体"/>
          <w:b/>
          <w:bCs/>
        </w:rPr>
      </w:pPr>
      <w:r>
        <w:rPr>
          <w:rFonts w:hint="eastAsia" w:ascii="宋体" w:hAnsi="宋体" w:cs="宋体"/>
          <w:b/>
          <w:bCs/>
        </w:rPr>
        <w:t>23、评审</w:t>
      </w:r>
    </w:p>
    <w:p w14:paraId="485DF70C">
      <w:pPr>
        <w:spacing w:line="360" w:lineRule="auto"/>
        <w:ind w:firstLine="420" w:firstLineChars="200"/>
        <w:rPr>
          <w:rFonts w:ascii="宋体" w:hAnsi="宋体" w:cs="宋体"/>
        </w:rPr>
      </w:pPr>
      <w:r>
        <w:rPr>
          <w:rFonts w:hint="eastAsia" w:ascii="宋体" w:hAnsi="宋体" w:cs="宋体"/>
        </w:rPr>
        <w:t>23.1实质性响应审查。（详见第三章）</w:t>
      </w:r>
    </w:p>
    <w:p w14:paraId="57DB5775">
      <w:pPr>
        <w:spacing w:line="360" w:lineRule="auto"/>
        <w:ind w:firstLine="420" w:firstLineChars="200"/>
        <w:rPr>
          <w:rFonts w:ascii="宋体" w:hAnsi="宋体" w:cs="宋体"/>
          <w:b/>
          <w:bCs/>
        </w:rPr>
      </w:pPr>
      <w:r>
        <w:rPr>
          <w:rFonts w:hint="eastAsia" w:ascii="宋体" w:hAnsi="宋体" w:cs="宋体"/>
        </w:rPr>
        <w:t>比选小组首先将对比选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B70404">
      <w:pPr>
        <w:spacing w:line="360" w:lineRule="auto"/>
        <w:ind w:firstLine="411" w:firstLineChars="196"/>
        <w:rPr>
          <w:rFonts w:ascii="宋体" w:hAnsi="宋体" w:cs="宋体"/>
        </w:rPr>
      </w:pPr>
      <w:r>
        <w:rPr>
          <w:rFonts w:hint="eastAsia" w:ascii="宋体" w:hAnsi="宋体" w:cs="宋体"/>
        </w:rPr>
        <w:t>23.2综合评审。（评分办法详见第四章）</w:t>
      </w:r>
    </w:p>
    <w:p w14:paraId="4C21BF21">
      <w:pPr>
        <w:spacing w:line="360" w:lineRule="auto"/>
        <w:ind w:firstLine="411" w:firstLineChars="196"/>
        <w:rPr>
          <w:rFonts w:ascii="宋体" w:hAnsi="宋体" w:cs="宋体"/>
        </w:rPr>
      </w:pPr>
      <w:r>
        <w:rPr>
          <w:rFonts w:hint="eastAsia" w:ascii="宋体" w:hAnsi="宋体" w:cs="宋体"/>
        </w:rPr>
        <w:t>比选小组只对实质上响应比选文件要求的比选响应文件按照评分细则进行综合评审。</w:t>
      </w:r>
    </w:p>
    <w:p w14:paraId="45AE3F3D">
      <w:pPr>
        <w:spacing w:line="360" w:lineRule="auto"/>
        <w:ind w:firstLine="411" w:firstLineChars="196"/>
        <w:rPr>
          <w:rFonts w:ascii="宋体" w:hAnsi="宋体" w:cs="宋体"/>
        </w:rPr>
      </w:pPr>
      <w:r>
        <w:rPr>
          <w:rFonts w:hint="eastAsia" w:ascii="宋体" w:hAnsi="宋体" w:cs="宋体"/>
        </w:rPr>
        <w:t>23.2.1各供应商通过抽签方式随机产生比选排列顺序，比选小组将按顺序分别与供应商就商务技术内容进行比选并进行商务技术评分。</w:t>
      </w:r>
    </w:p>
    <w:p w14:paraId="48BCD05D">
      <w:pPr>
        <w:spacing w:line="360" w:lineRule="auto"/>
        <w:ind w:firstLine="411" w:firstLineChars="196"/>
        <w:rPr>
          <w:rFonts w:ascii="宋体" w:hAnsi="宋体" w:cs="宋体"/>
        </w:rPr>
      </w:pPr>
      <w:r>
        <w:rPr>
          <w:rFonts w:hint="eastAsia" w:ascii="宋体" w:hAnsi="宋体" w:cs="宋体"/>
        </w:rPr>
        <w:t>23.2.3比选小组将供应商的商务技术分和价格分汇总后得到供应商的最终评审得分，按照最终评审得分由高到低推荐成交候选人。</w:t>
      </w:r>
    </w:p>
    <w:p w14:paraId="0E926B63">
      <w:pPr>
        <w:spacing w:line="360" w:lineRule="auto"/>
        <w:ind w:firstLine="411" w:firstLineChars="196"/>
        <w:rPr>
          <w:rFonts w:ascii="宋体" w:hAnsi="宋体" w:cs="宋体"/>
        </w:rPr>
      </w:pPr>
      <w:r>
        <w:rPr>
          <w:rFonts w:hint="eastAsia" w:ascii="宋体" w:hAnsi="宋体" w:cs="宋体"/>
        </w:rPr>
        <w:t>最终评审得分出现两家或两家以上相同者，按最后报价由低到高排序确定成交候选供应商；评审总得分且最后报价相同的供应商，按照技术指标优劣顺序推荐。</w:t>
      </w:r>
    </w:p>
    <w:p w14:paraId="222E6226">
      <w:pPr>
        <w:spacing w:line="360" w:lineRule="auto"/>
        <w:ind w:firstLine="411" w:firstLineChars="196"/>
        <w:rPr>
          <w:rFonts w:ascii="宋体" w:hAnsi="宋体" w:cs="宋体"/>
        </w:rPr>
      </w:pPr>
      <w:r>
        <w:rPr>
          <w:rFonts w:hint="eastAsia" w:ascii="宋体" w:hAnsi="宋体" w:cs="宋体"/>
        </w:rPr>
        <w:t>23.3比选小组要求供应商澄清、说明或者更正响应文件。供应商的澄清、说明或者更正应当由法定代表人或其授权代表加盖公章。</w:t>
      </w:r>
    </w:p>
    <w:p w14:paraId="68781395">
      <w:pPr>
        <w:spacing w:line="360" w:lineRule="auto"/>
        <w:ind w:firstLine="411" w:firstLineChars="196"/>
        <w:rPr>
          <w:rFonts w:ascii="宋体" w:hAnsi="宋体" w:cs="宋体"/>
        </w:rPr>
      </w:pPr>
      <w:r>
        <w:rPr>
          <w:rFonts w:hint="eastAsia" w:ascii="宋体" w:hAnsi="宋体" w:cs="宋体"/>
        </w:rPr>
        <w:t>23.4比选小组根据与供应商比选情况可能实质性变动比选文件的内容，包括采购需求中的技术、服务要求以及合同草案条款。比选文件有实质性变动的，经采购人代表确认作为比选文件的有效组成部分，比选小组通知所有参加比选的供应商。</w:t>
      </w:r>
    </w:p>
    <w:p w14:paraId="61943BC7">
      <w:pPr>
        <w:spacing w:line="500" w:lineRule="exact"/>
        <w:ind w:firstLine="315" w:firstLineChars="150"/>
        <w:jc w:val="left"/>
        <w:rPr>
          <w:rFonts w:ascii="宋体" w:hAnsi="宋体" w:cs="宋体"/>
        </w:rPr>
      </w:pPr>
      <w:r>
        <w:rPr>
          <w:rFonts w:hint="eastAsia" w:ascii="宋体" w:hAnsi="宋体" w:cs="宋体"/>
        </w:rPr>
        <w:t>23.5比选过程中，比选小组发现供应商的报价或者某些分项报价明显不合理或者低于成本，有可能影响商品质量和不能诚信履约的，应当要求其在规定的期限内予以解释说明，并提交相关证明材料；否则，比选小组可以取消该供应商的成交候选资格，按顺序由排在后面的成交候选人递补，以此类推。</w:t>
      </w:r>
    </w:p>
    <w:p w14:paraId="0EC63CC7">
      <w:pPr>
        <w:spacing w:line="500" w:lineRule="exact"/>
        <w:ind w:left="517"/>
        <w:rPr>
          <w:rFonts w:ascii="宋体" w:hAnsi="宋体" w:cs="宋体"/>
          <w:b/>
          <w:bCs/>
        </w:rPr>
      </w:pPr>
      <w:r>
        <w:rPr>
          <w:rFonts w:hint="eastAsia" w:ascii="宋体" w:hAnsi="宋体" w:cs="宋体"/>
          <w:b/>
          <w:bCs/>
        </w:rPr>
        <w:t>24、异常情况处理</w:t>
      </w:r>
    </w:p>
    <w:p w14:paraId="66165EF4">
      <w:pPr>
        <w:spacing w:line="500" w:lineRule="exact"/>
        <w:ind w:left="517"/>
        <w:rPr>
          <w:rFonts w:ascii="宋体" w:hAnsi="宋体" w:cs="宋体"/>
          <w:b/>
          <w:bCs/>
        </w:rPr>
      </w:pPr>
      <w:r>
        <w:rPr>
          <w:rFonts w:hint="eastAsia" w:ascii="宋体" w:hAnsi="宋体" w:cs="宋体"/>
        </w:rPr>
        <w:t>24.1比选时出现以下情况之一的，将重新组织比选：</w:t>
      </w:r>
    </w:p>
    <w:p w14:paraId="0345AD7B">
      <w:pPr>
        <w:spacing w:line="500" w:lineRule="exact"/>
        <w:ind w:left="540"/>
        <w:rPr>
          <w:rFonts w:ascii="宋体" w:hAnsi="宋体" w:cs="宋体"/>
        </w:rPr>
      </w:pPr>
      <w:r>
        <w:rPr>
          <w:rFonts w:hint="eastAsia" w:ascii="宋体" w:hAnsi="宋体" w:cs="宋体"/>
        </w:rPr>
        <w:t>1）供应商的报价均超过了采购预算，且采购人不能支付的；</w:t>
      </w:r>
    </w:p>
    <w:p w14:paraId="231CFE4F">
      <w:pPr>
        <w:spacing w:line="500" w:lineRule="exact"/>
        <w:ind w:left="540"/>
        <w:rPr>
          <w:rFonts w:ascii="宋体" w:hAnsi="宋体" w:cs="宋体"/>
        </w:rPr>
      </w:pPr>
      <w:r>
        <w:rPr>
          <w:rFonts w:hint="eastAsia" w:ascii="宋体" w:hAnsi="宋体" w:cs="宋体"/>
        </w:rPr>
        <w:t>2）经过比选，供应商所提供的货物服务仍无法满足比选文件实质性要求、影响工作的；</w:t>
      </w:r>
    </w:p>
    <w:p w14:paraId="2A54E024">
      <w:pPr>
        <w:numPr>
          <w:ilvl w:val="0"/>
          <w:numId w:val="5"/>
        </w:numPr>
        <w:spacing w:line="500" w:lineRule="exact"/>
        <w:rPr>
          <w:rFonts w:ascii="宋体" w:hAnsi="宋体" w:cs="宋体"/>
        </w:rPr>
      </w:pPr>
      <w:r>
        <w:rPr>
          <w:rFonts w:hint="eastAsia" w:ascii="宋体" w:hAnsi="宋体" w:cs="宋体"/>
        </w:rPr>
        <w:t>出现影响采购公正的违法、违规行为的。</w:t>
      </w:r>
    </w:p>
    <w:p w14:paraId="15277B7B">
      <w:pPr>
        <w:spacing w:line="500" w:lineRule="exact"/>
        <w:rPr>
          <w:rFonts w:ascii="宋体" w:hAnsi="宋体" w:cs="宋体"/>
        </w:rPr>
      </w:pPr>
      <w:r>
        <w:rPr>
          <w:rFonts w:hint="eastAsia" w:ascii="宋体" w:hAnsi="宋体" w:cs="宋体"/>
        </w:rPr>
        <w:t xml:space="preserve"> </w:t>
      </w:r>
    </w:p>
    <w:p w14:paraId="26B8CC37">
      <w:pPr>
        <w:pStyle w:val="36"/>
        <w:jc w:val="both"/>
        <w:rPr>
          <w:rFonts w:cs="宋体"/>
          <w:color w:val="auto"/>
        </w:rPr>
      </w:pPr>
      <w:bookmarkStart w:id="22" w:name="_Toc30817"/>
      <w:r>
        <w:rPr>
          <w:rFonts w:hint="eastAsia" w:cs="宋体"/>
          <w:color w:val="auto"/>
        </w:rPr>
        <w:t>六、确定供应商和授予合同</w:t>
      </w:r>
      <w:bookmarkEnd w:id="22"/>
    </w:p>
    <w:p w14:paraId="1A7F2C1B">
      <w:pPr>
        <w:spacing w:line="500" w:lineRule="exact"/>
        <w:ind w:left="517"/>
        <w:rPr>
          <w:rFonts w:ascii="宋体" w:hAnsi="宋体" w:cs="宋体"/>
          <w:b/>
          <w:bCs/>
        </w:rPr>
      </w:pPr>
      <w:r>
        <w:rPr>
          <w:rFonts w:hint="eastAsia" w:ascii="宋体" w:hAnsi="宋体" w:cs="宋体"/>
          <w:b/>
          <w:bCs/>
        </w:rPr>
        <w:t>25、确定供应商方式</w:t>
      </w:r>
    </w:p>
    <w:p w14:paraId="1BCBBE49">
      <w:pPr>
        <w:spacing w:line="500" w:lineRule="exact"/>
        <w:ind w:firstLine="525" w:firstLineChars="250"/>
        <w:rPr>
          <w:rFonts w:ascii="宋体" w:hAnsi="宋体" w:cs="宋体"/>
          <w:shd w:val="clear" w:color="auto" w:fill="FFFFFF"/>
        </w:rPr>
      </w:pPr>
      <w:r>
        <w:rPr>
          <w:rFonts w:hint="eastAsia" w:ascii="宋体" w:hAnsi="宋体" w:cs="宋体"/>
          <w:shd w:val="clear" w:color="auto" w:fill="FFFFFF"/>
        </w:rPr>
        <w:t>25.1采购人应当在收到评审报告后5个工作日内，从评审报告提出的成交候选人中，按照排序由高到低的原则确定供应商。</w:t>
      </w:r>
    </w:p>
    <w:p w14:paraId="724FAC04">
      <w:pPr>
        <w:spacing w:line="500" w:lineRule="exact"/>
        <w:ind w:firstLine="525" w:firstLineChars="250"/>
        <w:rPr>
          <w:rFonts w:ascii="宋体" w:hAnsi="宋体" w:cs="宋体"/>
        </w:rPr>
      </w:pPr>
      <w:r>
        <w:rPr>
          <w:rFonts w:hint="eastAsia" w:ascii="宋体" w:hAnsi="宋体" w:cs="宋体"/>
        </w:rPr>
        <w:t>25.2供应商拒绝与采购人签订合同的，采购人可以按照评审报告推荐的成交候选人名单排序，确定下一候选人为供应商，也可以重新开展采购活动。拒绝签订采购合同的供应商不得参加对该项目重新开展的采购活动。</w:t>
      </w:r>
    </w:p>
    <w:p w14:paraId="758709D0">
      <w:pPr>
        <w:spacing w:line="500" w:lineRule="exact"/>
        <w:ind w:firstLine="527" w:firstLineChars="250"/>
        <w:rPr>
          <w:rFonts w:ascii="宋体" w:hAnsi="宋体" w:cs="宋体"/>
          <w:shd w:val="clear" w:color="auto" w:fill="FFFFFF"/>
        </w:rPr>
      </w:pPr>
      <w:r>
        <w:rPr>
          <w:rFonts w:hint="eastAsia" w:ascii="宋体" w:hAnsi="宋体" w:cs="宋体"/>
          <w:b/>
          <w:bCs/>
        </w:rPr>
        <w:t>26、签订合同</w:t>
      </w:r>
    </w:p>
    <w:p w14:paraId="58907436">
      <w:pPr>
        <w:spacing w:line="500" w:lineRule="exact"/>
        <w:ind w:firstLine="525" w:firstLineChars="250"/>
        <w:rPr>
          <w:rFonts w:ascii="宋体" w:hAnsi="宋体" w:cs="宋体"/>
        </w:rPr>
      </w:pPr>
      <w:r>
        <w:rPr>
          <w:rFonts w:hint="eastAsia" w:ascii="宋体" w:hAnsi="宋体" w:cs="宋体"/>
          <w:shd w:val="clear" w:color="auto" w:fill="FFFFFF"/>
        </w:rPr>
        <w:t>26.1采购人与供应商应当在成交通知书发出之日起7日内</w:t>
      </w:r>
      <w:r>
        <w:rPr>
          <w:rFonts w:hint="eastAsia" w:ascii="宋体" w:hAnsi="宋体" w:cs="宋体"/>
        </w:rPr>
        <w:t>（具体时限本文件有约定的，按约定执行</w:t>
      </w:r>
      <w:r>
        <w:rPr>
          <w:rFonts w:hint="eastAsia" w:ascii="宋体" w:hAnsi="宋体" w:cs="宋体"/>
          <w:shd w:val="clear" w:color="auto" w:fill="FFFFFF"/>
        </w:rPr>
        <w:t>），按照比选文件确定的合同文本以及采购内容、规格型号、采购金额、采购数量、技术和服务要求等事项签订采购合同。</w:t>
      </w:r>
      <w:r>
        <w:rPr>
          <w:rFonts w:hint="eastAsia" w:ascii="宋体" w:hAnsi="宋体" w:cs="宋体"/>
        </w:rPr>
        <w:t xml:space="preserve"> </w:t>
      </w:r>
    </w:p>
    <w:p w14:paraId="38C71B00">
      <w:pPr>
        <w:spacing w:line="500" w:lineRule="exact"/>
        <w:ind w:firstLine="525" w:firstLineChars="250"/>
        <w:rPr>
          <w:rFonts w:ascii="宋体" w:hAnsi="宋体" w:cs="宋体"/>
        </w:rPr>
      </w:pPr>
      <w:r>
        <w:rPr>
          <w:rFonts w:hint="eastAsia" w:ascii="宋体" w:hAnsi="宋体" w:cs="宋体"/>
        </w:rPr>
        <w:t>26.2采购人在签订合同时，可以在不改变合同其他条款的前提下变更采购数量，但变更的金额不得超过成交人原来总价的10%。</w:t>
      </w:r>
    </w:p>
    <w:p w14:paraId="4963B19B">
      <w:pPr>
        <w:spacing w:line="500" w:lineRule="exact"/>
        <w:ind w:firstLine="525" w:firstLineChars="250"/>
        <w:rPr>
          <w:rFonts w:ascii="宋体" w:hAnsi="宋体" w:cs="宋体"/>
        </w:rPr>
      </w:pPr>
      <w:r>
        <w:rPr>
          <w:rFonts w:hint="eastAsia" w:ascii="宋体" w:hAnsi="宋体" w:cs="宋体"/>
        </w:rPr>
        <w:t>26.3签约通知书发出后，采购人无正当理由不签订采购合同的，将依据相关规定给予处理。</w:t>
      </w:r>
    </w:p>
    <w:p w14:paraId="10A162A6">
      <w:pPr>
        <w:spacing w:line="500" w:lineRule="exact"/>
        <w:ind w:firstLine="525" w:firstLineChars="250"/>
        <w:rPr>
          <w:rFonts w:ascii="宋体" w:hAnsi="宋体" w:cs="宋体"/>
        </w:rPr>
      </w:pPr>
      <w:r>
        <w:rPr>
          <w:rFonts w:hint="eastAsia" w:ascii="宋体" w:hAnsi="宋体" w:cs="宋体"/>
        </w:rPr>
        <w:t>26.4采购人与成交供应商签订合同后，应自合同签订之日起起七个工作日内，将合同副本报监督管理部门备案。</w:t>
      </w:r>
    </w:p>
    <w:p w14:paraId="1A523DE5">
      <w:pPr>
        <w:numPr>
          <w:ilvl w:val="0"/>
          <w:numId w:val="6"/>
        </w:numPr>
        <w:spacing w:line="500" w:lineRule="exact"/>
        <w:rPr>
          <w:rFonts w:ascii="宋体" w:hAnsi="宋体" w:cs="宋体"/>
          <w:b/>
          <w:bCs/>
        </w:rPr>
      </w:pPr>
      <w:r>
        <w:rPr>
          <w:rFonts w:hint="eastAsia" w:ascii="宋体" w:hAnsi="宋体" w:cs="宋体"/>
          <w:b/>
          <w:bCs/>
        </w:rPr>
        <w:t>履约保证金（本项不适用）</w:t>
      </w:r>
    </w:p>
    <w:p w14:paraId="601D2785">
      <w:pPr>
        <w:spacing w:before="93" w:after="93" w:line="540" w:lineRule="exact"/>
        <w:ind w:firstLine="630" w:firstLineChars="300"/>
        <w:rPr>
          <w:rFonts w:ascii="宋体" w:hAnsi="宋体" w:cs="宋体"/>
        </w:rPr>
      </w:pPr>
      <w:r>
        <w:rPr>
          <w:rFonts w:hint="eastAsia" w:ascii="宋体" w:hAnsi="宋体" w:cs="宋体"/>
        </w:rPr>
        <w:t>27.1 供应商在签订合同前必须按比选文件的规定，及时、足额向采购人交纳履约保证金。</w:t>
      </w:r>
    </w:p>
    <w:p w14:paraId="59821565">
      <w:pPr>
        <w:spacing w:before="93" w:after="93" w:line="540" w:lineRule="exact"/>
        <w:ind w:firstLine="630" w:firstLineChars="300"/>
        <w:rPr>
          <w:rFonts w:ascii="宋体" w:hAnsi="宋体" w:cs="宋体"/>
        </w:rPr>
      </w:pPr>
      <w:r>
        <w:rPr>
          <w:rFonts w:hint="eastAsia" w:ascii="宋体" w:hAnsi="宋体" w:cs="宋体"/>
        </w:rPr>
        <w:t>27.2履约保证金是督促供应商按时、按质、按量履行合同的一个经济制约手段。当采购人因供应商违约而造成损失时，可在无须征得供应商同意的情况下首先从其所交纳的履约保证金中获取相应的补偿。</w:t>
      </w:r>
    </w:p>
    <w:p w14:paraId="6E7BBC19">
      <w:pPr>
        <w:spacing w:line="500" w:lineRule="exact"/>
        <w:ind w:left="840" w:hanging="840"/>
        <w:rPr>
          <w:rFonts w:ascii="宋体" w:hAnsi="宋体" w:cs="宋体"/>
        </w:rPr>
      </w:pPr>
      <w:r>
        <w:rPr>
          <w:rFonts w:hint="eastAsia" w:ascii="宋体" w:hAnsi="宋体" w:cs="宋体"/>
        </w:rPr>
        <w:t xml:space="preserve"> </w:t>
      </w:r>
    </w:p>
    <w:p w14:paraId="1BEC0751">
      <w:pPr>
        <w:pStyle w:val="36"/>
        <w:jc w:val="both"/>
        <w:rPr>
          <w:rFonts w:cs="宋体"/>
          <w:color w:val="auto"/>
        </w:rPr>
      </w:pPr>
      <w:bookmarkStart w:id="23" w:name="_Toc511899311"/>
      <w:bookmarkEnd w:id="23"/>
      <w:bookmarkStart w:id="24" w:name="_Toc3356"/>
      <w:r>
        <w:rPr>
          <w:rFonts w:hint="eastAsia" w:cs="宋体"/>
          <w:color w:val="auto"/>
        </w:rPr>
        <w:t>七、质疑与投诉</w:t>
      </w:r>
      <w:bookmarkEnd w:id="24"/>
    </w:p>
    <w:p w14:paraId="48E16832">
      <w:pPr>
        <w:spacing w:line="500" w:lineRule="exact"/>
        <w:ind w:left="517"/>
        <w:rPr>
          <w:rFonts w:ascii="宋体" w:hAnsi="宋体" w:cs="宋体"/>
          <w:b/>
          <w:bCs/>
        </w:rPr>
      </w:pPr>
      <w:r>
        <w:rPr>
          <w:rFonts w:hint="eastAsia" w:ascii="宋体" w:hAnsi="宋体" w:cs="宋体"/>
          <w:b/>
          <w:bCs/>
        </w:rPr>
        <w:t>28、质疑</w:t>
      </w:r>
    </w:p>
    <w:p w14:paraId="0A6721BB">
      <w:pPr>
        <w:spacing w:line="500" w:lineRule="exact"/>
        <w:ind w:firstLine="525" w:firstLineChars="250"/>
        <w:rPr>
          <w:rFonts w:ascii="宋体" w:hAnsi="宋体" w:cs="宋体"/>
        </w:rPr>
      </w:pPr>
      <w:r>
        <w:rPr>
          <w:rFonts w:hint="eastAsia" w:ascii="宋体" w:hAnsi="宋体" w:cs="宋体"/>
        </w:rPr>
        <w:t>28.1参与本项目采购活动的供应商（即提交了比选响应文件的供应商）对成交结果提出质疑的，最迟可以在成交结果公告期限届满之日起七个工作日内，以书面形式向采购人提出质疑。</w:t>
      </w:r>
    </w:p>
    <w:p w14:paraId="3185B510">
      <w:pPr>
        <w:spacing w:line="500" w:lineRule="exact"/>
        <w:ind w:firstLine="525" w:firstLineChars="250"/>
        <w:rPr>
          <w:rFonts w:ascii="宋体" w:hAnsi="宋体" w:cs="宋体"/>
        </w:rPr>
      </w:pPr>
      <w:r>
        <w:rPr>
          <w:rFonts w:hint="eastAsia" w:ascii="宋体" w:hAnsi="宋体" w:cs="宋体"/>
        </w:rPr>
        <w:t>28.2参与本项目采购活动的供应商（即提交了比选响应文件的供应商）认为采购过程使自己的权益受到损害的，可以在各采购程序环节结束之日起七个工作日内，以书面形式向采购人提出质疑。</w:t>
      </w:r>
    </w:p>
    <w:p w14:paraId="717FEE24">
      <w:pPr>
        <w:spacing w:line="500" w:lineRule="exact"/>
        <w:ind w:firstLine="525" w:firstLineChars="250"/>
        <w:rPr>
          <w:rFonts w:ascii="宋体" w:hAnsi="宋体" w:cs="宋体"/>
        </w:rPr>
      </w:pPr>
      <w:r>
        <w:rPr>
          <w:rFonts w:hint="eastAsia" w:ascii="宋体" w:hAnsi="宋体" w:cs="宋体"/>
        </w:rPr>
        <w:t xml:space="preserve"> 28.3质疑函的内容应包括《政府采购质疑和投诉办法》（财政部令第94号）第十二条规定的内容，质疑函的格式可参照宿州市公共资源交易中心门户网站办事流程--资料下载中的质疑函范本。</w:t>
      </w:r>
    </w:p>
    <w:p w14:paraId="53DFD848">
      <w:pPr>
        <w:spacing w:line="500" w:lineRule="exact"/>
        <w:ind w:firstLine="525" w:firstLineChars="250"/>
        <w:rPr>
          <w:rFonts w:ascii="宋体" w:hAnsi="宋体" w:cs="宋体"/>
        </w:rPr>
      </w:pPr>
      <w:r>
        <w:rPr>
          <w:rFonts w:hint="eastAsia" w:ascii="宋体" w:hAnsi="宋体" w:cs="宋体"/>
        </w:rPr>
        <w:t xml:space="preserve"> 28.4采购人在收到供应商的质疑函后，将审查质疑函的格式、内容以及所附的证明文件是否符合要求。如不符合，退回供应商；如符合要求，则在收到书面质疑后七个工作日内，对质疑内容作出书面答复。</w:t>
      </w:r>
    </w:p>
    <w:p w14:paraId="4D793013">
      <w:pPr>
        <w:spacing w:line="500" w:lineRule="exact"/>
        <w:ind w:firstLine="514" w:firstLineChars="245"/>
        <w:rPr>
          <w:rFonts w:ascii="宋体" w:hAnsi="宋体" w:cs="宋体"/>
        </w:rPr>
      </w:pPr>
      <w:r>
        <w:rPr>
          <w:rFonts w:hint="eastAsia" w:ascii="宋体" w:hAnsi="宋体" w:cs="宋体"/>
        </w:rPr>
        <w:t xml:space="preserve"> 28.5供应商对同一环节的质疑，应在法定质疑期内一次性提出，采购人不再接受同一供应商针对同一环节提出的再次质疑。</w:t>
      </w:r>
    </w:p>
    <w:p w14:paraId="3D3634A6">
      <w:pPr>
        <w:spacing w:before="93" w:after="93" w:line="540" w:lineRule="exact"/>
        <w:ind w:firstLine="527" w:firstLineChars="250"/>
        <w:rPr>
          <w:rFonts w:ascii="宋体" w:hAnsi="宋体" w:cs="宋体"/>
          <w:b/>
          <w:bCs/>
        </w:rPr>
      </w:pPr>
      <w:r>
        <w:rPr>
          <w:rFonts w:hint="eastAsia" w:ascii="宋体" w:hAnsi="宋体" w:cs="宋体"/>
          <w:b/>
          <w:bCs/>
        </w:rPr>
        <w:t>29、投诉</w:t>
      </w:r>
    </w:p>
    <w:p w14:paraId="638EA5C9">
      <w:pPr>
        <w:spacing w:line="500" w:lineRule="exact"/>
        <w:ind w:left="359" w:leftChars="171" w:firstLine="210" w:firstLineChars="100"/>
        <w:rPr>
          <w:rFonts w:ascii="宋体" w:hAnsi="宋体" w:cs="宋体"/>
        </w:rPr>
      </w:pPr>
      <w:r>
        <w:rPr>
          <w:rFonts w:hint="eastAsia" w:ascii="宋体" w:hAnsi="宋体" w:cs="宋体"/>
        </w:rPr>
        <w:t>29.1质疑人对采购单位的答复不满意，或者采购单位未在规定的时间内答复的，可以在答复期满后十五个工作日内按有关规定，向本项目监督部门进行投诉。</w:t>
      </w:r>
    </w:p>
    <w:p w14:paraId="727AF5EB">
      <w:pPr>
        <w:spacing w:line="500" w:lineRule="exact"/>
        <w:rPr>
          <w:rFonts w:ascii="宋体" w:hAnsi="宋体" w:cs="宋体"/>
        </w:rPr>
      </w:pPr>
      <w:r>
        <w:rPr>
          <w:rFonts w:hint="eastAsia" w:ascii="宋体" w:hAnsi="宋体" w:cs="宋体"/>
        </w:rPr>
        <w:t xml:space="preserve"> </w:t>
      </w:r>
    </w:p>
    <w:p w14:paraId="3FA88BC7">
      <w:permStart w:id="4" w:edGrp="everyone"/>
      <w:bookmarkStart w:id="25" w:name="_Toc511899309"/>
      <w:bookmarkEnd w:id="25"/>
      <w:bookmarkStart w:id="26" w:name="_Toc511899308"/>
      <w:bookmarkEnd w:id="26"/>
      <w:bookmarkStart w:id="27" w:name="_Toc3269"/>
    </w:p>
    <w:p w14:paraId="26842AC5">
      <w:pPr>
        <w:pStyle w:val="33"/>
        <w:rPr>
          <w:rFonts w:eastAsia="宋体"/>
          <w:color w:val="auto"/>
        </w:rPr>
      </w:pPr>
      <w:r>
        <w:rPr>
          <w:rFonts w:hint="eastAsia" w:eastAsia="宋体"/>
          <w:color w:val="auto"/>
        </w:rPr>
        <w:t>第</w:t>
      </w:r>
      <w:r>
        <w:rPr>
          <w:rFonts w:hint="eastAsia" w:eastAsia="宋体"/>
          <w:color w:val="auto"/>
          <w:lang w:val="en-US" w:eastAsia="zh-CN"/>
        </w:rPr>
        <w:t>五</w:t>
      </w:r>
      <w:bookmarkStart w:id="37" w:name="_GoBack"/>
      <w:bookmarkEnd w:id="37"/>
      <w:r>
        <w:rPr>
          <w:rFonts w:hint="eastAsia" w:eastAsia="宋体"/>
          <w:color w:val="auto"/>
        </w:rPr>
        <w:t>章 比选响应文件</w:t>
      </w:r>
      <w:bookmarkEnd w:id="27"/>
      <w:bookmarkStart w:id="28" w:name="_Toc511898266"/>
      <w:bookmarkEnd w:id="28"/>
    </w:p>
    <w:p w14:paraId="37698D8D">
      <w:pPr>
        <w:jc w:val="left"/>
        <w:rPr>
          <w:rFonts w:ascii="宋体" w:hAnsi="宋体" w:cs="宋体"/>
          <w:sz w:val="32"/>
          <w:szCs w:val="32"/>
        </w:rPr>
      </w:pPr>
    </w:p>
    <w:p w14:paraId="676826B9">
      <w:pPr>
        <w:rPr>
          <w:rFonts w:ascii="宋体" w:hAnsi="宋体" w:cs="宋体"/>
          <w:sz w:val="32"/>
          <w:szCs w:val="32"/>
        </w:rPr>
      </w:pPr>
      <w:r>
        <w:rPr>
          <w:rFonts w:hint="eastAsia" w:ascii="宋体" w:hAnsi="宋体" w:cs="宋体"/>
          <w:sz w:val="32"/>
          <w:szCs w:val="32"/>
        </w:rPr>
        <w:t>项目名称：</w:t>
      </w:r>
    </w:p>
    <w:p w14:paraId="21A27282">
      <w:pPr>
        <w:jc w:val="center"/>
        <w:rPr>
          <w:rFonts w:ascii="宋体" w:hAnsi="宋体" w:cs="宋体"/>
        </w:rPr>
      </w:pPr>
      <w:r>
        <w:rPr>
          <w:rFonts w:hint="eastAsia" w:ascii="宋体" w:hAnsi="宋体" w:cs="宋体"/>
        </w:rPr>
        <w:t xml:space="preserve"> </w:t>
      </w:r>
    </w:p>
    <w:p w14:paraId="700F9CE5">
      <w:pPr>
        <w:rPr>
          <w:rFonts w:ascii="宋体" w:hAnsi="宋体" w:cs="宋体"/>
          <w:sz w:val="52"/>
          <w:szCs w:val="52"/>
        </w:rPr>
      </w:pPr>
    </w:p>
    <w:p w14:paraId="2202FBD3">
      <w:pPr>
        <w:jc w:val="center"/>
        <w:rPr>
          <w:rFonts w:ascii="宋体" w:hAnsi="宋体" w:cs="宋体"/>
          <w:sz w:val="52"/>
          <w:szCs w:val="52"/>
        </w:rPr>
      </w:pPr>
      <w:r>
        <w:rPr>
          <w:rFonts w:hint="eastAsia" w:ascii="宋体" w:hAnsi="宋体" w:cs="宋体"/>
          <w:sz w:val="52"/>
          <w:szCs w:val="52"/>
        </w:rPr>
        <w:t>响</w:t>
      </w:r>
    </w:p>
    <w:p w14:paraId="6783803A">
      <w:pPr>
        <w:jc w:val="center"/>
        <w:rPr>
          <w:rFonts w:ascii="宋体" w:hAnsi="宋体" w:cs="宋体"/>
          <w:sz w:val="52"/>
          <w:szCs w:val="52"/>
        </w:rPr>
      </w:pPr>
      <w:r>
        <w:rPr>
          <w:rFonts w:hint="eastAsia" w:ascii="宋体" w:hAnsi="宋体" w:cs="宋体"/>
          <w:sz w:val="52"/>
          <w:szCs w:val="52"/>
        </w:rPr>
        <w:t>应</w:t>
      </w:r>
    </w:p>
    <w:p w14:paraId="3ADB2236">
      <w:pPr>
        <w:jc w:val="center"/>
        <w:rPr>
          <w:rFonts w:ascii="宋体" w:hAnsi="宋体" w:cs="宋体"/>
          <w:sz w:val="52"/>
          <w:szCs w:val="52"/>
        </w:rPr>
      </w:pPr>
      <w:r>
        <w:rPr>
          <w:rFonts w:hint="eastAsia" w:ascii="宋体" w:hAnsi="宋体" w:cs="宋体"/>
          <w:sz w:val="52"/>
          <w:szCs w:val="52"/>
        </w:rPr>
        <w:t>文</w:t>
      </w:r>
    </w:p>
    <w:p w14:paraId="03BC561A">
      <w:pPr>
        <w:jc w:val="center"/>
        <w:rPr>
          <w:rFonts w:ascii="宋体" w:hAnsi="宋体" w:cs="宋体"/>
          <w:sz w:val="52"/>
          <w:szCs w:val="52"/>
        </w:rPr>
      </w:pPr>
      <w:r>
        <w:rPr>
          <w:rFonts w:hint="eastAsia" w:ascii="宋体" w:hAnsi="宋体" w:cs="宋体"/>
          <w:sz w:val="52"/>
          <w:szCs w:val="52"/>
        </w:rPr>
        <w:t>件</w:t>
      </w:r>
    </w:p>
    <w:p w14:paraId="6B3FC6CF">
      <w:pPr>
        <w:jc w:val="center"/>
        <w:rPr>
          <w:rFonts w:ascii="宋体" w:hAnsi="宋体" w:cs="宋体"/>
        </w:rPr>
      </w:pPr>
      <w:r>
        <w:rPr>
          <w:rFonts w:hint="eastAsia" w:ascii="宋体" w:hAnsi="宋体" w:cs="宋体"/>
        </w:rPr>
        <w:t xml:space="preserve"> </w:t>
      </w:r>
    </w:p>
    <w:p w14:paraId="08BAE937">
      <w:pPr>
        <w:jc w:val="center"/>
        <w:rPr>
          <w:rFonts w:ascii="宋体" w:hAnsi="宋体" w:cs="宋体"/>
          <w:b/>
          <w:bCs/>
          <w:sz w:val="28"/>
          <w:szCs w:val="28"/>
        </w:rPr>
      </w:pPr>
    </w:p>
    <w:p w14:paraId="059199C2">
      <w:pPr>
        <w:jc w:val="center"/>
        <w:rPr>
          <w:rFonts w:ascii="宋体" w:hAnsi="宋体" w:cs="宋体"/>
        </w:rPr>
      </w:pPr>
      <w:r>
        <w:rPr>
          <w:rFonts w:hint="eastAsia" w:ascii="宋体" w:hAnsi="宋体" w:cs="宋体"/>
        </w:rPr>
        <w:t xml:space="preserve"> </w:t>
      </w:r>
    </w:p>
    <w:p w14:paraId="3DC4527C">
      <w:pPr>
        <w:jc w:val="center"/>
        <w:rPr>
          <w:rFonts w:ascii="宋体" w:hAnsi="宋体" w:cs="宋体"/>
        </w:rPr>
      </w:pPr>
      <w:r>
        <w:rPr>
          <w:rFonts w:hint="eastAsia" w:ascii="宋体" w:hAnsi="宋体" w:cs="宋体"/>
        </w:rPr>
        <w:t xml:space="preserve"> </w:t>
      </w:r>
    </w:p>
    <w:p w14:paraId="2F9D42ED">
      <w:pPr>
        <w:ind w:firstLine="640" w:firstLineChars="200"/>
        <w:jc w:val="center"/>
        <w:rPr>
          <w:rFonts w:ascii="宋体" w:hAnsi="宋体" w:cs="宋体"/>
          <w:sz w:val="32"/>
          <w:szCs w:val="32"/>
        </w:rPr>
      </w:pPr>
      <w:r>
        <w:rPr>
          <w:rFonts w:hint="eastAsia" w:ascii="宋体" w:hAnsi="宋体" w:cs="宋体"/>
          <w:sz w:val="32"/>
          <w:szCs w:val="32"/>
        </w:rPr>
        <w:t>供应商：                  （盖章）</w:t>
      </w:r>
    </w:p>
    <w:p w14:paraId="3F1D5CCF">
      <w:pPr>
        <w:ind w:firstLine="2880" w:firstLineChars="900"/>
        <w:rPr>
          <w:rFonts w:ascii="宋体" w:hAnsi="宋体" w:cs="宋体"/>
          <w:sz w:val="32"/>
          <w:szCs w:val="32"/>
        </w:rPr>
      </w:pPr>
      <w:r>
        <w:rPr>
          <w:rFonts w:hint="eastAsia" w:ascii="宋体" w:hAnsi="宋体" w:cs="宋体"/>
          <w:sz w:val="32"/>
          <w:szCs w:val="32"/>
        </w:rPr>
        <w:t>年      月      日</w:t>
      </w:r>
    </w:p>
    <w:p w14:paraId="647E3B74">
      <w:pPr>
        <w:pStyle w:val="36"/>
        <w:rPr>
          <w:rFonts w:cs="宋体"/>
          <w:color w:val="auto"/>
        </w:rPr>
      </w:pPr>
      <w:bookmarkStart w:id="29" w:name="_Hlk450146465"/>
      <w:bookmarkEnd w:id="29"/>
      <w:bookmarkStart w:id="30" w:name="_Toc272141473"/>
      <w:bookmarkEnd w:id="30"/>
      <w:bookmarkStart w:id="31" w:name="_Toc293560330"/>
      <w:bookmarkEnd w:id="31"/>
      <w:bookmarkStart w:id="32" w:name="_Toc19920"/>
      <w:r>
        <w:rPr>
          <w:rFonts w:hint="eastAsia" w:cs="宋体"/>
          <w:color w:val="auto"/>
        </w:rPr>
        <w:br w:type="page"/>
      </w:r>
      <w:bookmarkEnd w:id="32"/>
      <w:bookmarkStart w:id="33" w:name="_Toc511899315"/>
      <w:bookmarkEnd w:id="33"/>
      <w:bookmarkStart w:id="34" w:name="_Toc511899318"/>
      <w:bookmarkEnd w:id="34"/>
      <w:bookmarkStart w:id="35" w:name="_Toc23789"/>
    </w:p>
    <w:bookmarkEnd w:id="35"/>
    <w:p w14:paraId="093A36EF">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bookmarkStart w:id="36" w:name="_Toc511899319"/>
      <w:bookmarkEnd w:id="36"/>
      <w:r>
        <w:rPr>
          <w:rFonts w:hint="eastAsia" w:ascii="宋体" w:hAnsi="宋体" w:eastAsia="宋体" w:cs="宋体"/>
          <w:snapToGrid w:val="0"/>
          <w:color w:val="auto"/>
          <w:kern w:val="0"/>
          <w:sz w:val="24"/>
          <w:szCs w:val="24"/>
          <w:highlight w:val="none"/>
          <w:shd w:val="clear" w:color="auto" w:fill="FFFFFF"/>
          <w:lang w:val="en-US" w:eastAsia="zh-CN" w:bidi="ar-SA"/>
        </w:rPr>
        <w:t>响应</w:t>
      </w:r>
      <w:r>
        <w:rPr>
          <w:rFonts w:hint="default" w:ascii="宋体" w:hAnsi="宋体" w:eastAsia="宋体" w:cs="宋体"/>
          <w:snapToGrid w:val="0"/>
          <w:color w:val="auto"/>
          <w:kern w:val="0"/>
          <w:sz w:val="24"/>
          <w:szCs w:val="24"/>
          <w:highlight w:val="none"/>
          <w:shd w:val="clear" w:color="auto" w:fill="FFFFFF"/>
          <w:lang w:val="en-US" w:eastAsia="zh-CN" w:bidi="ar-SA"/>
        </w:rPr>
        <w:t>文件组成（包含但不限于以下内容，格式自拟）</w:t>
      </w:r>
    </w:p>
    <w:p w14:paraId="218B835F">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（1）比选申请书；</w:t>
      </w:r>
    </w:p>
    <w:p w14:paraId="39877A7E">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（2）报价函（总价不得超过</w:t>
      </w:r>
      <w:r>
        <w:rPr>
          <w:rFonts w:hint="eastAsia" w:ascii="宋体" w:hAnsi="宋体" w:eastAsia="宋体" w:cs="宋体"/>
          <w:snapToGrid w:val="0"/>
          <w:color w:val="auto"/>
          <w:kern w:val="0"/>
          <w:sz w:val="24"/>
          <w:szCs w:val="24"/>
          <w:highlight w:val="none"/>
          <w:shd w:val="clear" w:color="auto" w:fill="FFFFFF"/>
          <w:lang w:val="en-US" w:eastAsia="zh-CN" w:bidi="ar-SA"/>
        </w:rPr>
        <w:t>25</w:t>
      </w:r>
      <w:r>
        <w:rPr>
          <w:rFonts w:hint="default" w:ascii="宋体" w:hAnsi="宋体" w:eastAsia="宋体" w:cs="宋体"/>
          <w:snapToGrid w:val="0"/>
          <w:color w:val="auto"/>
          <w:kern w:val="0"/>
          <w:sz w:val="24"/>
          <w:szCs w:val="24"/>
          <w:highlight w:val="none"/>
          <w:shd w:val="clear" w:color="auto" w:fill="FFFFFF"/>
          <w:lang w:val="en-US" w:eastAsia="zh-CN" w:bidi="ar-SA"/>
        </w:rPr>
        <w:t>万元</w:t>
      </w:r>
      <w:r>
        <w:rPr>
          <w:rFonts w:hint="eastAsia" w:ascii="宋体" w:hAnsi="宋体" w:eastAsia="宋体" w:cs="宋体"/>
          <w:snapToGrid w:val="0"/>
          <w:color w:val="auto"/>
          <w:kern w:val="0"/>
          <w:sz w:val="24"/>
          <w:szCs w:val="24"/>
          <w:highlight w:val="none"/>
          <w:shd w:val="clear" w:color="auto" w:fill="FFFFFF"/>
          <w:lang w:val="en-US" w:eastAsia="zh-CN" w:bidi="ar-SA"/>
        </w:rPr>
        <w:t>，否则按无效响应处理</w:t>
      </w:r>
      <w:r>
        <w:rPr>
          <w:rFonts w:hint="default" w:ascii="宋体" w:hAnsi="宋体" w:eastAsia="宋体" w:cs="宋体"/>
          <w:snapToGrid w:val="0"/>
          <w:color w:val="auto"/>
          <w:kern w:val="0"/>
          <w:sz w:val="24"/>
          <w:szCs w:val="24"/>
          <w:highlight w:val="none"/>
          <w:shd w:val="clear" w:color="auto" w:fill="FFFFFF"/>
          <w:lang w:val="en-US" w:eastAsia="zh-CN" w:bidi="ar-SA"/>
        </w:rPr>
        <w:t>）；</w:t>
      </w:r>
    </w:p>
    <w:p w14:paraId="450E0983">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（3）法定代表人提供法定代表人身份证明、身份证；授权委托代表参与的提供授权委托书、被授权委托人身份证；</w:t>
      </w:r>
    </w:p>
    <w:p w14:paraId="3FB3F3A6">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（4）比选申请单位基本情况一览表（企业营业执照复印件加盖公章；企业资质证书复印件加盖公章）；</w:t>
      </w:r>
    </w:p>
    <w:p w14:paraId="7261871B">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（5）企业业绩材料；</w:t>
      </w:r>
    </w:p>
    <w:p w14:paraId="4BAA17F8">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（6）资格证书等相关材料；</w:t>
      </w:r>
    </w:p>
    <w:p w14:paraId="2CED8992">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（7）服务方案；</w:t>
      </w:r>
    </w:p>
    <w:p w14:paraId="3C1337CE">
      <w:pPr>
        <w:keepNext w:val="0"/>
        <w:keepLines w:val="0"/>
        <w:pageBreakBefore w:val="0"/>
        <w:widowControl/>
        <w:kinsoku w:val="0"/>
        <w:wordWrap/>
        <w:overflowPunct/>
        <w:topLinePunct w:val="0"/>
        <w:autoSpaceDE w:val="0"/>
        <w:autoSpaceDN w:val="0"/>
        <w:bidi w:val="0"/>
        <w:adjustRightInd w:val="0"/>
        <w:snapToGrid w:val="0"/>
        <w:spacing w:before="120" w:line="500" w:lineRule="exact"/>
        <w:textAlignment w:val="baseline"/>
        <w:rPr>
          <w:rFonts w:hint="default" w:ascii="宋体" w:hAnsi="宋体" w:eastAsia="宋体" w:cs="宋体"/>
          <w:snapToGrid w:val="0"/>
          <w:color w:val="auto"/>
          <w:kern w:val="0"/>
          <w:sz w:val="24"/>
          <w:szCs w:val="24"/>
          <w:highlight w:val="none"/>
          <w:shd w:val="clear" w:color="auto" w:fill="FFFFFF"/>
          <w:lang w:val="en-US" w:eastAsia="zh-CN" w:bidi="ar-SA"/>
        </w:rPr>
      </w:pPr>
      <w:r>
        <w:rPr>
          <w:rFonts w:hint="default" w:ascii="宋体" w:hAnsi="宋体" w:eastAsia="宋体" w:cs="宋体"/>
          <w:snapToGrid w:val="0"/>
          <w:color w:val="auto"/>
          <w:kern w:val="0"/>
          <w:sz w:val="24"/>
          <w:szCs w:val="24"/>
          <w:highlight w:val="none"/>
          <w:shd w:val="clear" w:color="auto" w:fill="FFFFFF"/>
          <w:lang w:val="en-US" w:eastAsia="zh-CN" w:bidi="ar-SA"/>
        </w:rPr>
        <w:t>（8）比选</w:t>
      </w:r>
      <w:r>
        <w:rPr>
          <w:rFonts w:hint="eastAsia" w:ascii="宋体" w:hAnsi="宋体" w:eastAsia="宋体" w:cs="宋体"/>
          <w:snapToGrid w:val="0"/>
          <w:color w:val="auto"/>
          <w:kern w:val="0"/>
          <w:sz w:val="24"/>
          <w:szCs w:val="24"/>
          <w:highlight w:val="none"/>
          <w:shd w:val="clear" w:color="auto" w:fill="FFFFFF"/>
          <w:lang w:val="en-US" w:eastAsia="zh-CN" w:bidi="ar-SA"/>
        </w:rPr>
        <w:t>文件</w:t>
      </w:r>
      <w:r>
        <w:rPr>
          <w:rFonts w:hint="default" w:ascii="宋体" w:hAnsi="宋体" w:eastAsia="宋体" w:cs="宋体"/>
          <w:snapToGrid w:val="0"/>
          <w:color w:val="auto"/>
          <w:kern w:val="0"/>
          <w:sz w:val="24"/>
          <w:szCs w:val="24"/>
          <w:highlight w:val="none"/>
          <w:shd w:val="clear" w:color="auto" w:fill="FFFFFF"/>
          <w:lang w:val="en-US" w:eastAsia="zh-CN" w:bidi="ar-SA"/>
        </w:rPr>
        <w:t>要求的其他材料。</w:t>
      </w:r>
    </w:p>
    <w:permEnd w:id="4"/>
    <w:p w14:paraId="7B660500">
      <w:pPr>
        <w:spacing w:line="440" w:lineRule="exact"/>
        <w:ind w:firstLine="210" w:firstLineChars="100"/>
        <w:jc w:val="left"/>
        <w:rPr>
          <w:rFonts w:ascii="宋体" w:hAnsi="宋体" w:cs="宋体"/>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69B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5388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BA5388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B894E"/>
    <w:multiLevelType w:val="singleLevel"/>
    <w:tmpl w:val="FA3B894E"/>
    <w:lvl w:ilvl="0" w:tentative="0">
      <w:start w:val="19"/>
      <w:numFmt w:val="decimal"/>
      <w:suff w:val="nothing"/>
      <w:lvlText w:val="%1、"/>
      <w:lvlJc w:val="left"/>
    </w:lvl>
  </w:abstractNum>
  <w:abstractNum w:abstractNumId="1">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3">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4">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5">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Mzk4ZGIxYzFkMTMxNzVmMWQxZjBjNWJkYTk2MWMifQ=="/>
  </w:docVars>
  <w:rsids>
    <w:rsidRoot w:val="568B7C73"/>
    <w:rsid w:val="000C3576"/>
    <w:rsid w:val="00141E59"/>
    <w:rsid w:val="00172036"/>
    <w:rsid w:val="00270E1C"/>
    <w:rsid w:val="003F4094"/>
    <w:rsid w:val="003F6923"/>
    <w:rsid w:val="005250B3"/>
    <w:rsid w:val="007A0D14"/>
    <w:rsid w:val="007B6885"/>
    <w:rsid w:val="00A829AB"/>
    <w:rsid w:val="00F1755C"/>
    <w:rsid w:val="00F46A9C"/>
    <w:rsid w:val="013730A5"/>
    <w:rsid w:val="0145567C"/>
    <w:rsid w:val="01C2190A"/>
    <w:rsid w:val="01FB5A25"/>
    <w:rsid w:val="020B5EB6"/>
    <w:rsid w:val="02625068"/>
    <w:rsid w:val="03417629"/>
    <w:rsid w:val="042F2F85"/>
    <w:rsid w:val="044024E6"/>
    <w:rsid w:val="047962A8"/>
    <w:rsid w:val="052B4CCF"/>
    <w:rsid w:val="05512DBA"/>
    <w:rsid w:val="05965CBC"/>
    <w:rsid w:val="061A3762"/>
    <w:rsid w:val="0731614B"/>
    <w:rsid w:val="08B45AAD"/>
    <w:rsid w:val="08B5064A"/>
    <w:rsid w:val="09841B8D"/>
    <w:rsid w:val="09BB5740"/>
    <w:rsid w:val="0A621FF2"/>
    <w:rsid w:val="0A800FDC"/>
    <w:rsid w:val="0A956D26"/>
    <w:rsid w:val="0AA81238"/>
    <w:rsid w:val="0AB459AE"/>
    <w:rsid w:val="0C8A7B2A"/>
    <w:rsid w:val="0CA37841"/>
    <w:rsid w:val="0D2623B2"/>
    <w:rsid w:val="0D363610"/>
    <w:rsid w:val="0E921323"/>
    <w:rsid w:val="0FD25414"/>
    <w:rsid w:val="10112711"/>
    <w:rsid w:val="10225431"/>
    <w:rsid w:val="10912515"/>
    <w:rsid w:val="11E206D3"/>
    <w:rsid w:val="12D61545"/>
    <w:rsid w:val="13485C75"/>
    <w:rsid w:val="13A22600"/>
    <w:rsid w:val="145B4532"/>
    <w:rsid w:val="14E867A2"/>
    <w:rsid w:val="14F15EC2"/>
    <w:rsid w:val="15D61539"/>
    <w:rsid w:val="16DC4EE3"/>
    <w:rsid w:val="16E16716"/>
    <w:rsid w:val="17373531"/>
    <w:rsid w:val="19DE635C"/>
    <w:rsid w:val="1A3172A5"/>
    <w:rsid w:val="1B122129"/>
    <w:rsid w:val="1BAB650B"/>
    <w:rsid w:val="1C632BA6"/>
    <w:rsid w:val="1CED0C2E"/>
    <w:rsid w:val="1D5407EA"/>
    <w:rsid w:val="1D957C82"/>
    <w:rsid w:val="1E19733F"/>
    <w:rsid w:val="1E807E74"/>
    <w:rsid w:val="1F1446A9"/>
    <w:rsid w:val="1F2B2431"/>
    <w:rsid w:val="1FD727CF"/>
    <w:rsid w:val="2037389F"/>
    <w:rsid w:val="20FE5CA8"/>
    <w:rsid w:val="21370FC4"/>
    <w:rsid w:val="231F5F77"/>
    <w:rsid w:val="2491479D"/>
    <w:rsid w:val="24B9097F"/>
    <w:rsid w:val="256D2442"/>
    <w:rsid w:val="268A28B3"/>
    <w:rsid w:val="284851CF"/>
    <w:rsid w:val="295907F9"/>
    <w:rsid w:val="295C0221"/>
    <w:rsid w:val="2A0430D6"/>
    <w:rsid w:val="2B060C35"/>
    <w:rsid w:val="2B671CBE"/>
    <w:rsid w:val="2C075DB2"/>
    <w:rsid w:val="2D95699F"/>
    <w:rsid w:val="2DAF2EAD"/>
    <w:rsid w:val="2DBE7282"/>
    <w:rsid w:val="2DF605C6"/>
    <w:rsid w:val="2F971030"/>
    <w:rsid w:val="2FDE6A6E"/>
    <w:rsid w:val="30071A45"/>
    <w:rsid w:val="30E3502F"/>
    <w:rsid w:val="31D54841"/>
    <w:rsid w:val="320261C4"/>
    <w:rsid w:val="33AA244D"/>
    <w:rsid w:val="34CE5E5B"/>
    <w:rsid w:val="35E25793"/>
    <w:rsid w:val="3680281D"/>
    <w:rsid w:val="368E5E05"/>
    <w:rsid w:val="36C27B45"/>
    <w:rsid w:val="36EC0523"/>
    <w:rsid w:val="373E225A"/>
    <w:rsid w:val="37941E13"/>
    <w:rsid w:val="37A532E5"/>
    <w:rsid w:val="380414EA"/>
    <w:rsid w:val="381F7511"/>
    <w:rsid w:val="382437B1"/>
    <w:rsid w:val="38EF7202"/>
    <w:rsid w:val="3A055A67"/>
    <w:rsid w:val="3AA60CDE"/>
    <w:rsid w:val="3AC31DBA"/>
    <w:rsid w:val="3BAE7B42"/>
    <w:rsid w:val="3C3114E9"/>
    <w:rsid w:val="3C93483B"/>
    <w:rsid w:val="3D0564C8"/>
    <w:rsid w:val="3D5E5688"/>
    <w:rsid w:val="3D850607"/>
    <w:rsid w:val="3DBA53FE"/>
    <w:rsid w:val="3E1C72DB"/>
    <w:rsid w:val="3E6926A7"/>
    <w:rsid w:val="3F56098F"/>
    <w:rsid w:val="3FAB2496"/>
    <w:rsid w:val="3FBB7F5C"/>
    <w:rsid w:val="3FEE4CB9"/>
    <w:rsid w:val="433E6903"/>
    <w:rsid w:val="442107E1"/>
    <w:rsid w:val="445F3A72"/>
    <w:rsid w:val="470E47E5"/>
    <w:rsid w:val="495F4A34"/>
    <w:rsid w:val="49731B24"/>
    <w:rsid w:val="49CB4511"/>
    <w:rsid w:val="4A6C0C97"/>
    <w:rsid w:val="4B0F3CB4"/>
    <w:rsid w:val="4BE82678"/>
    <w:rsid w:val="4C4F261E"/>
    <w:rsid w:val="4E7202DF"/>
    <w:rsid w:val="4E8567CB"/>
    <w:rsid w:val="4F386B35"/>
    <w:rsid w:val="4F462E79"/>
    <w:rsid w:val="4F6E5602"/>
    <w:rsid w:val="4FA3269B"/>
    <w:rsid w:val="512343A7"/>
    <w:rsid w:val="52343FCF"/>
    <w:rsid w:val="52736FC9"/>
    <w:rsid w:val="52E626C8"/>
    <w:rsid w:val="54E513CB"/>
    <w:rsid w:val="54ED50CA"/>
    <w:rsid w:val="55015756"/>
    <w:rsid w:val="556C017F"/>
    <w:rsid w:val="557B4484"/>
    <w:rsid w:val="558F4F23"/>
    <w:rsid w:val="568B7C73"/>
    <w:rsid w:val="57000C78"/>
    <w:rsid w:val="58BD163F"/>
    <w:rsid w:val="5A001EF2"/>
    <w:rsid w:val="5BE11B88"/>
    <w:rsid w:val="5D215A32"/>
    <w:rsid w:val="5EE96BDE"/>
    <w:rsid w:val="5F614D04"/>
    <w:rsid w:val="60162A52"/>
    <w:rsid w:val="60197BFE"/>
    <w:rsid w:val="60795B63"/>
    <w:rsid w:val="60B0018C"/>
    <w:rsid w:val="61C40F61"/>
    <w:rsid w:val="61C84EF5"/>
    <w:rsid w:val="632927A9"/>
    <w:rsid w:val="636649C5"/>
    <w:rsid w:val="64135B13"/>
    <w:rsid w:val="655F524F"/>
    <w:rsid w:val="65716544"/>
    <w:rsid w:val="685C7575"/>
    <w:rsid w:val="69682F6A"/>
    <w:rsid w:val="696C2247"/>
    <w:rsid w:val="69BC64A5"/>
    <w:rsid w:val="6AE50748"/>
    <w:rsid w:val="6D0120CB"/>
    <w:rsid w:val="6D266A5B"/>
    <w:rsid w:val="6D2773EB"/>
    <w:rsid w:val="6E2B55FB"/>
    <w:rsid w:val="6EF26137"/>
    <w:rsid w:val="6F6605BD"/>
    <w:rsid w:val="6FA23CFD"/>
    <w:rsid w:val="6FDC5C4D"/>
    <w:rsid w:val="72034483"/>
    <w:rsid w:val="7214405C"/>
    <w:rsid w:val="725B6B37"/>
    <w:rsid w:val="72BD35EF"/>
    <w:rsid w:val="72CF11D4"/>
    <w:rsid w:val="730661E1"/>
    <w:rsid w:val="730D01C6"/>
    <w:rsid w:val="740846E7"/>
    <w:rsid w:val="741434CC"/>
    <w:rsid w:val="74FA180E"/>
    <w:rsid w:val="75AB0488"/>
    <w:rsid w:val="75D710DF"/>
    <w:rsid w:val="773130CC"/>
    <w:rsid w:val="7775126C"/>
    <w:rsid w:val="77830FB9"/>
    <w:rsid w:val="77AA102B"/>
    <w:rsid w:val="78233E3C"/>
    <w:rsid w:val="7A316717"/>
    <w:rsid w:val="7A98024F"/>
    <w:rsid w:val="7D290712"/>
    <w:rsid w:val="7D593178"/>
    <w:rsid w:val="7D79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line="415" w:lineRule="auto"/>
      <w:outlineLvl w:val="1"/>
    </w:pPr>
    <w:rPr>
      <w:rFonts w:ascii="Arial" w:hAnsi="Arial" w:cs="Arial"/>
      <w:b/>
      <w:bCs/>
    </w:rPr>
  </w:style>
  <w:style w:type="paragraph" w:styleId="4">
    <w:name w:val="heading 3"/>
    <w:basedOn w:val="1"/>
    <w:next w:val="1"/>
    <w:qFormat/>
    <w:uiPriority w:val="0"/>
    <w:pPr>
      <w:keepNext/>
      <w:keepLines/>
      <w:spacing w:line="412"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rPr>
      <w:kern w:val="0"/>
      <w:sz w:val="20"/>
    </w:rPr>
  </w:style>
  <w:style w:type="paragraph" w:styleId="7">
    <w:name w:val="Body Text"/>
    <w:basedOn w:val="1"/>
    <w:qFormat/>
    <w:uiPriority w:val="0"/>
    <w:pPr>
      <w:spacing w:after="120"/>
    </w:pPr>
    <w:rPr>
      <w:szCs w:val="20"/>
      <w:lang w:val="zh-CN"/>
    </w:rPr>
  </w:style>
  <w:style w:type="paragraph" w:styleId="8">
    <w:name w:val="Body Text Indent"/>
    <w:basedOn w:val="1"/>
    <w:next w:val="9"/>
    <w:qFormat/>
    <w:uiPriority w:val="0"/>
    <w:pPr>
      <w:ind w:firstLine="645"/>
    </w:pPr>
    <w:rPr>
      <w:rFonts w:ascii="Arial" w:hAnsi="Arial" w:eastAsia="仿宋_GB2312"/>
      <w:sz w:val="28"/>
    </w:rPr>
  </w:style>
  <w:style w:type="paragraph" w:styleId="9">
    <w:name w:val="envelope return"/>
    <w:basedOn w:val="1"/>
    <w:qFormat/>
    <w:uiPriority w:val="0"/>
    <w:pPr>
      <w:snapToGrid w:val="0"/>
    </w:pPr>
    <w:rPr>
      <w:rFonts w:ascii="Arial" w:hAnsi="Arial" w:cs="Arial"/>
      <w:szCs w:val="24"/>
    </w:rPr>
  </w:style>
  <w:style w:type="paragraph" w:styleId="10">
    <w:name w:val="toc 3"/>
    <w:basedOn w:val="1"/>
    <w:next w:val="1"/>
    <w:qFormat/>
    <w:uiPriority w:val="0"/>
    <w:pPr>
      <w:spacing w:before="100" w:beforeAutospacing="1" w:after="100" w:afterAutospacing="1"/>
      <w:ind w:left="400" w:leftChars="400"/>
    </w:pPr>
  </w:style>
  <w:style w:type="paragraph" w:styleId="11">
    <w:name w:val="Plain Text"/>
    <w:basedOn w:val="1"/>
    <w:qFormat/>
    <w:uiPriority w:val="0"/>
    <w:rPr>
      <w:rFonts w:ascii="宋体" w:hAnsi="Courier New"/>
      <w:szCs w:val="22"/>
    </w:rPr>
  </w:style>
  <w:style w:type="paragraph" w:styleId="12">
    <w:name w:val="Date"/>
    <w:basedOn w:val="1"/>
    <w:next w:val="1"/>
    <w:qFormat/>
    <w:uiPriority w:val="0"/>
    <w:rPr>
      <w:rFonts w:ascii="仿宋_GB2312" w:hAnsi="宋体" w:eastAsia="仿宋_GB2312" w:cs="宋体"/>
      <w:sz w:val="30"/>
      <w:szCs w:val="30"/>
    </w:rPr>
  </w:style>
  <w:style w:type="paragraph" w:styleId="13">
    <w:name w:val="Body Text Indent 2"/>
    <w:basedOn w:val="1"/>
    <w:qFormat/>
    <w:uiPriority w:val="0"/>
    <w:pPr>
      <w:ind w:left="630" w:firstLine="645"/>
    </w:pPr>
    <w:rPr>
      <w:rFonts w:ascii="Arial" w:hAnsi="Arial" w:eastAsia="仿宋_GB2312"/>
      <w:sz w:val="32"/>
      <w:szCs w:val="20"/>
    </w:rPr>
  </w:style>
  <w:style w:type="paragraph" w:styleId="14">
    <w:name w:val="footer"/>
    <w:basedOn w:val="1"/>
    <w:qFormat/>
    <w:uiPriority w:val="0"/>
    <w:pPr>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2"/>
    <w:basedOn w:val="17"/>
    <w:next w:val="17"/>
    <w:qFormat/>
    <w:uiPriority w:val="0"/>
    <w:rPr>
      <w:rFonts w:eastAsia="仿宋_GB2312"/>
      <w:b/>
      <w:bCs/>
      <w:sz w:val="24"/>
      <w:szCs w:val="24"/>
    </w:rPr>
  </w:style>
  <w:style w:type="paragraph" w:styleId="17">
    <w:name w:val="index 2"/>
    <w:basedOn w:val="1"/>
    <w:next w:val="1"/>
    <w:qFormat/>
    <w:uiPriority w:val="0"/>
    <w:pPr>
      <w:spacing w:before="100" w:beforeAutospacing="1" w:after="100" w:afterAutospacing="1"/>
      <w:ind w:left="200" w:leftChars="200"/>
    </w:pPr>
  </w:style>
  <w:style w:type="paragraph" w:styleId="18">
    <w:name w:val="Normal (Web)"/>
    <w:basedOn w:val="1"/>
    <w:qFormat/>
    <w:uiPriority w:val="0"/>
    <w:pPr>
      <w:jc w:val="left"/>
    </w:pPr>
    <w:rPr>
      <w:kern w:val="0"/>
      <w:sz w:val="24"/>
    </w:rPr>
  </w:style>
  <w:style w:type="paragraph" w:styleId="19">
    <w:name w:val="Body Text First Indent 2"/>
    <w:basedOn w:val="8"/>
    <w:qFormat/>
    <w:uiPriority w:val="0"/>
    <w:pPr>
      <w:spacing w:after="120"/>
      <w:ind w:left="420" w:leftChars="200" w:firstLine="420" w:firstLineChars="200"/>
    </w:pPr>
  </w:style>
  <w:style w:type="table" w:styleId="21">
    <w:name w:val="Table Grid"/>
    <w:basedOn w:val="20"/>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333333"/>
      <w:u w:val="none"/>
    </w:rPr>
  </w:style>
  <w:style w:type="character" w:styleId="25">
    <w:name w:val="Emphasis"/>
    <w:basedOn w:val="22"/>
    <w:qFormat/>
    <w:uiPriority w:val="0"/>
  </w:style>
  <w:style w:type="character" w:styleId="26">
    <w:name w:val="HTML Definition"/>
    <w:basedOn w:val="22"/>
    <w:qFormat/>
    <w:uiPriority w:val="0"/>
    <w:rPr>
      <w:i/>
      <w:iCs/>
    </w:rPr>
  </w:style>
  <w:style w:type="character" w:styleId="27">
    <w:name w:val="Hyperlink"/>
    <w:basedOn w:val="22"/>
    <w:qFormat/>
    <w:uiPriority w:val="0"/>
    <w:rPr>
      <w:color w:val="333333"/>
      <w:sz w:val="18"/>
      <w:szCs w:val="18"/>
      <w:u w:val="none"/>
    </w:rPr>
  </w:style>
  <w:style w:type="character" w:styleId="28">
    <w:name w:val="HTML Code"/>
    <w:basedOn w:val="22"/>
    <w:qFormat/>
    <w:uiPriority w:val="0"/>
    <w:rPr>
      <w:rFonts w:ascii="Consolas" w:hAnsi="Consolas" w:eastAsia="Consolas" w:cs="Consolas"/>
      <w:color w:val="C7254E"/>
      <w:sz w:val="21"/>
      <w:szCs w:val="21"/>
      <w:shd w:val="clear" w:color="auto" w:fill="F9F2F4"/>
    </w:rPr>
  </w:style>
  <w:style w:type="character" w:styleId="29">
    <w:name w:val="HTML Cite"/>
    <w:basedOn w:val="22"/>
    <w:qFormat/>
    <w:uiPriority w:val="0"/>
  </w:style>
  <w:style w:type="character" w:styleId="30">
    <w:name w:val="HTML Keyboard"/>
    <w:basedOn w:val="22"/>
    <w:qFormat/>
    <w:uiPriority w:val="0"/>
    <w:rPr>
      <w:rFonts w:hint="default" w:ascii="Consolas" w:hAnsi="Consolas" w:eastAsia="Consolas" w:cs="Consolas"/>
      <w:color w:val="FFFFFF"/>
      <w:sz w:val="21"/>
      <w:szCs w:val="21"/>
      <w:shd w:val="clear" w:color="auto" w:fill="333333"/>
    </w:rPr>
  </w:style>
  <w:style w:type="character" w:styleId="31">
    <w:name w:val="HTML Sample"/>
    <w:basedOn w:val="22"/>
    <w:qFormat/>
    <w:uiPriority w:val="0"/>
    <w:rPr>
      <w:rFonts w:hint="default" w:ascii="Consolas" w:hAnsi="Consolas" w:eastAsia="Consolas" w:cs="Consolas"/>
      <w:sz w:val="21"/>
      <w:szCs w:val="21"/>
    </w:rPr>
  </w:style>
  <w:style w:type="paragraph" w:styleId="32">
    <w:name w:val="List Paragraph"/>
    <w:basedOn w:val="1"/>
    <w:qFormat/>
    <w:uiPriority w:val="34"/>
    <w:pPr>
      <w:ind w:firstLine="420" w:firstLineChars="200"/>
    </w:pPr>
  </w:style>
  <w:style w:type="paragraph" w:customStyle="1" w:styleId="33">
    <w:name w:val="H1"/>
    <w:basedOn w:val="2"/>
    <w:next w:val="1"/>
    <w:qFormat/>
    <w:uiPriority w:val="0"/>
    <w:pPr>
      <w:spacing w:line="600" w:lineRule="exact"/>
      <w:jc w:val="center"/>
    </w:pPr>
    <w:rPr>
      <w:rFonts w:ascii="宋体" w:hAnsi="宋体" w:eastAsia="黑体" w:cs="宋体"/>
      <w:color w:val="000000"/>
      <w:sz w:val="32"/>
      <w:szCs w:val="32"/>
    </w:rPr>
  </w:style>
  <w:style w:type="paragraph" w:customStyle="1" w:styleId="34">
    <w:name w:val="GW-正文"/>
    <w:basedOn w:val="1"/>
    <w:qFormat/>
    <w:uiPriority w:val="0"/>
    <w:pPr>
      <w:spacing w:line="360" w:lineRule="auto"/>
      <w:ind w:firstLine="200" w:firstLineChars="200"/>
      <w:contextualSpacing/>
    </w:pPr>
  </w:style>
  <w:style w:type="paragraph" w:customStyle="1" w:styleId="35">
    <w:name w:val="p0"/>
    <w:basedOn w:val="1"/>
    <w:qFormat/>
    <w:uiPriority w:val="0"/>
    <w:pPr>
      <w:widowControl/>
    </w:pPr>
    <w:rPr>
      <w:kern w:val="0"/>
    </w:rPr>
  </w:style>
  <w:style w:type="paragraph" w:customStyle="1" w:styleId="36">
    <w:name w:val="H2"/>
    <w:basedOn w:val="4"/>
    <w:next w:val="1"/>
    <w:qFormat/>
    <w:uiPriority w:val="0"/>
    <w:pPr>
      <w:keepNext w:val="0"/>
      <w:keepLines w:val="0"/>
      <w:spacing w:line="360" w:lineRule="auto"/>
      <w:jc w:val="center"/>
    </w:pPr>
    <w:rPr>
      <w:rFonts w:ascii="宋体" w:hAnsi="宋体" w:cs="Arial"/>
      <w:color w:val="000000"/>
      <w:sz w:val="21"/>
      <w:szCs w:val="21"/>
    </w:rPr>
  </w:style>
  <w:style w:type="paragraph" w:customStyle="1" w:styleId="37">
    <w:name w:val="1天津"/>
    <w:basedOn w:val="1"/>
    <w:qFormat/>
    <w:uiPriority w:val="0"/>
    <w:pPr>
      <w:spacing w:line="360" w:lineRule="auto"/>
      <w:ind w:firstLine="200" w:firstLineChars="200"/>
    </w:pPr>
    <w:rPr>
      <w:rFonts w:ascii="宋体" w:hAnsi="Calibri"/>
      <w:sz w:val="24"/>
      <w:szCs w:val="28"/>
    </w:rPr>
  </w:style>
  <w:style w:type="paragraph" w:customStyle="1" w:styleId="38">
    <w:name w:val="样式1"/>
    <w:basedOn w:val="1"/>
    <w:qFormat/>
    <w:uiPriority w:val="0"/>
    <w:pPr>
      <w:kinsoku w:val="0"/>
      <w:spacing w:line="360" w:lineRule="auto"/>
    </w:pPr>
    <w:rPr>
      <w:rFonts w:ascii="黑体" w:eastAsia="黑体"/>
      <w:spacing w:val="10"/>
      <w:sz w:val="28"/>
      <w:szCs w:val="20"/>
    </w:rPr>
  </w:style>
  <w:style w:type="paragraph" w:customStyle="1" w:styleId="39">
    <w:name w:val="首行缩进：2字符"/>
    <w:basedOn w:val="1"/>
    <w:qFormat/>
    <w:uiPriority w:val="0"/>
    <w:pPr>
      <w:ind w:firstLine="560" w:firstLineChars="200"/>
    </w:pPr>
    <w:rPr>
      <w:rFonts w:ascii="宋体" w:hAnsi="Calibri"/>
      <w:sz w:val="28"/>
      <w:szCs w:val="28"/>
    </w:rPr>
  </w:style>
  <w:style w:type="character" w:customStyle="1" w:styleId="40">
    <w:name w:val="disabled"/>
    <w:basedOn w:val="22"/>
    <w:qFormat/>
    <w:uiPriority w:val="0"/>
    <w:rPr>
      <w:color w:val="FFFFFF"/>
      <w:sz w:val="15"/>
      <w:szCs w:val="15"/>
      <w:bdr w:val="single" w:color="666666" w:sz="6" w:space="0"/>
      <w:shd w:val="clear" w:color="auto" w:fill="666666"/>
    </w:rPr>
  </w:style>
  <w:style w:type="character" w:customStyle="1" w:styleId="41">
    <w:name w:val="d2d"/>
    <w:basedOn w:val="22"/>
    <w:qFormat/>
    <w:uiPriority w:val="0"/>
    <w:rPr>
      <w:color w:val="FFFFFF"/>
      <w:sz w:val="15"/>
      <w:szCs w:val="15"/>
      <w:bdr w:val="single" w:color="FF9900" w:sz="6" w:space="0"/>
      <w:shd w:val="clear" w:color="auto" w:fill="FF9900"/>
    </w:rPr>
  </w:style>
  <w:style w:type="character" w:customStyle="1" w:styleId="42">
    <w:name w:val="current"/>
    <w:basedOn w:val="22"/>
    <w:qFormat/>
    <w:uiPriority w:val="0"/>
    <w:rPr>
      <w:color w:val="FFFFFF"/>
      <w:sz w:val="15"/>
      <w:szCs w:val="15"/>
      <w:bdr w:val="single" w:color="FF9900" w:sz="6" w:space="0"/>
      <w:shd w:val="clear" w:color="auto" w:fill="FF9900"/>
    </w:rPr>
  </w:style>
  <w:style w:type="character" w:customStyle="1" w:styleId="43">
    <w:name w:val="d3d"/>
    <w:basedOn w:val="22"/>
    <w:qFormat/>
    <w:uiPriority w:val="0"/>
    <w:rPr>
      <w:bdr w:val="single" w:color="E5E5E5" w:sz="6" w:space="0"/>
      <w:shd w:val="clear" w:color="auto" w:fill="FFFFFF"/>
    </w:rPr>
  </w:style>
  <w:style w:type="character" w:customStyle="1" w:styleId="44">
    <w:name w:val="font41"/>
    <w:basedOn w:val="22"/>
    <w:qFormat/>
    <w:uiPriority w:val="0"/>
    <w:rPr>
      <w:rFonts w:hint="eastAsia" w:ascii="宋体" w:hAnsi="宋体" w:eastAsia="宋体" w:cs="宋体"/>
      <w:color w:val="FF0000"/>
      <w:sz w:val="24"/>
      <w:szCs w:val="24"/>
      <w:u w:val="none"/>
    </w:rPr>
  </w:style>
  <w:style w:type="character" w:customStyle="1" w:styleId="45">
    <w:name w:val="font81"/>
    <w:basedOn w:val="22"/>
    <w:qFormat/>
    <w:uiPriority w:val="0"/>
    <w:rPr>
      <w:rFonts w:hint="eastAsia" w:ascii="宋体" w:hAnsi="宋体" w:eastAsia="宋体" w:cs="宋体"/>
      <w:color w:val="000000"/>
      <w:sz w:val="24"/>
      <w:szCs w:val="24"/>
      <w:u w:val="none"/>
    </w:rPr>
  </w:style>
  <w:style w:type="character" w:customStyle="1" w:styleId="46">
    <w:name w:val="curpage"/>
    <w:basedOn w:val="22"/>
    <w:qFormat/>
    <w:uiPriority w:val="0"/>
    <w:rPr>
      <w:b/>
      <w:bCs/>
    </w:rPr>
  </w:style>
  <w:style w:type="character" w:customStyle="1" w:styleId="47">
    <w:name w:val="text8"/>
    <w:basedOn w:val="22"/>
    <w:qFormat/>
    <w:uiPriority w:val="0"/>
  </w:style>
  <w:style w:type="character" w:customStyle="1" w:styleId="48">
    <w:name w:val="icon20"/>
    <w:basedOn w:val="22"/>
    <w:qFormat/>
    <w:uiPriority w:val="0"/>
  </w:style>
  <w:style w:type="character" w:customStyle="1" w:styleId="49">
    <w:name w:val="hover16"/>
    <w:basedOn w:val="22"/>
    <w:qFormat/>
    <w:uiPriority w:val="0"/>
    <w:rPr>
      <w:bdr w:val="single" w:color="999999" w:sz="6" w:space="0"/>
    </w:rPr>
  </w:style>
  <w:style w:type="character" w:customStyle="1" w:styleId="50">
    <w:name w:val="active2"/>
    <w:basedOn w:val="22"/>
    <w:qFormat/>
    <w:uiPriority w:val="0"/>
    <w:rPr>
      <w:shd w:val="clear" w:color="auto" w:fill="FFFFFF"/>
    </w:rPr>
  </w:style>
  <w:style w:type="character" w:customStyle="1" w:styleId="51">
    <w:name w:val="active3"/>
    <w:basedOn w:val="22"/>
    <w:qFormat/>
    <w:uiPriority w:val="0"/>
    <w:rPr>
      <w:shd w:val="clear" w:color="auto" w:fill="FFFFFF"/>
    </w:rPr>
  </w:style>
  <w:style w:type="character" w:customStyle="1" w:styleId="52">
    <w:name w:val="generalinfo-address-text1"/>
    <w:basedOn w:val="22"/>
    <w:qFormat/>
    <w:uiPriority w:val="0"/>
    <w:rPr>
      <w:sz w:val="18"/>
      <w:szCs w:val="18"/>
    </w:rPr>
  </w:style>
  <w:style w:type="character" w:customStyle="1" w:styleId="53">
    <w:name w:val="nth-child(2)"/>
    <w:basedOn w:val="22"/>
    <w:qFormat/>
    <w:uiPriority w:val="0"/>
  </w:style>
  <w:style w:type="character" w:customStyle="1" w:styleId="54">
    <w:name w:val="after"/>
    <w:basedOn w:val="22"/>
    <w:qFormat/>
    <w:uiPriority w:val="0"/>
    <w:rPr>
      <w:shd w:val="clear" w:color="auto" w:fill="FFFFFF"/>
    </w:rPr>
  </w:style>
  <w:style w:type="character" w:customStyle="1" w:styleId="55">
    <w:name w:val="edit4"/>
    <w:basedOn w:val="22"/>
    <w:qFormat/>
    <w:uiPriority w:val="0"/>
  </w:style>
  <w:style w:type="character" w:customStyle="1" w:styleId="56">
    <w:name w:val="badge22"/>
    <w:basedOn w:val="22"/>
    <w:qFormat/>
    <w:uiPriority w:val="0"/>
    <w:rPr>
      <w:shd w:val="clear" w:color="auto" w:fill="FFFFFF"/>
    </w:rPr>
  </w:style>
  <w:style w:type="character" w:customStyle="1" w:styleId="57">
    <w:name w:val="badge23"/>
    <w:basedOn w:val="22"/>
    <w:qFormat/>
    <w:uiPriority w:val="0"/>
    <w:rPr>
      <w:color w:val="909090"/>
      <w:sz w:val="18"/>
      <w:szCs w:val="18"/>
    </w:rPr>
  </w:style>
  <w:style w:type="character" w:customStyle="1" w:styleId="58">
    <w:name w:val="badge24"/>
    <w:basedOn w:val="22"/>
    <w:qFormat/>
    <w:uiPriority w:val="0"/>
    <w:rPr>
      <w:color w:val="128BED"/>
    </w:rPr>
  </w:style>
  <w:style w:type="character" w:customStyle="1" w:styleId="59">
    <w:name w:val="badge25"/>
    <w:basedOn w:val="22"/>
    <w:qFormat/>
    <w:uiPriority w:val="0"/>
    <w:rPr>
      <w:color w:val="128BED"/>
    </w:rPr>
  </w:style>
  <w:style w:type="character" w:customStyle="1" w:styleId="60">
    <w:name w:val="badge26"/>
    <w:basedOn w:val="22"/>
    <w:qFormat/>
    <w:uiPriority w:val="0"/>
    <w:rPr>
      <w:shd w:val="clear" w:color="auto" w:fill="FFFFFF"/>
    </w:rPr>
  </w:style>
  <w:style w:type="character" w:customStyle="1" w:styleId="61">
    <w:name w:val="badge27"/>
    <w:basedOn w:val="22"/>
    <w:qFormat/>
    <w:uiPriority w:val="0"/>
    <w:rPr>
      <w:color w:val="909090"/>
      <w:sz w:val="18"/>
      <w:szCs w:val="18"/>
    </w:rPr>
  </w:style>
  <w:style w:type="character" w:customStyle="1" w:styleId="62">
    <w:name w:val="badge28"/>
    <w:basedOn w:val="22"/>
    <w:qFormat/>
    <w:uiPriority w:val="0"/>
    <w:rPr>
      <w:color w:val="128BED"/>
    </w:rPr>
  </w:style>
  <w:style w:type="character" w:customStyle="1" w:styleId="63">
    <w:name w:val="delete"/>
    <w:basedOn w:val="22"/>
    <w:qFormat/>
    <w:uiPriority w:val="0"/>
  </w:style>
  <w:style w:type="character" w:customStyle="1" w:styleId="64">
    <w:name w:val="nc-lang-cnt2"/>
    <w:basedOn w:val="22"/>
    <w:qFormat/>
    <w:uiPriority w:val="0"/>
  </w:style>
  <w:style w:type="character" w:customStyle="1" w:styleId="65">
    <w:name w:val="nc-lang-cnt3"/>
    <w:basedOn w:val="22"/>
    <w:qFormat/>
    <w:uiPriority w:val="0"/>
  </w:style>
  <w:style w:type="character" w:customStyle="1" w:styleId="66">
    <w:name w:val="nc-lang-cnt4"/>
    <w:basedOn w:val="22"/>
    <w:qFormat/>
    <w:uiPriority w:val="0"/>
  </w:style>
  <w:style w:type="character" w:customStyle="1" w:styleId="67">
    <w:name w:val="des14"/>
    <w:basedOn w:val="22"/>
    <w:qFormat/>
    <w:uiPriority w:val="0"/>
    <w:rPr>
      <w:color w:val="333333"/>
    </w:rPr>
  </w:style>
  <w:style w:type="character" w:customStyle="1" w:styleId="68">
    <w:name w:val="cvlu1"/>
    <w:basedOn w:val="22"/>
    <w:qFormat/>
    <w:uiPriority w:val="0"/>
    <w:rPr>
      <w:color w:val="128BED"/>
    </w:rPr>
  </w:style>
  <w:style w:type="table" w:customStyle="1" w:styleId="6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0">
    <w:name w:val="FWB_L4"/>
    <w:basedOn w:val="1"/>
    <w:qFormat/>
    <w:uiPriority w:val="0"/>
    <w:pPr>
      <w:widowControl/>
      <w:tabs>
        <w:tab w:val="left" w:pos="360"/>
      </w:tabs>
      <w:spacing w:after="240"/>
    </w:pPr>
    <w:rPr>
      <w:smallCaps/>
      <w:kern w:val="0"/>
      <w:sz w:val="24"/>
      <w:lang w:val="en-GB" w:eastAsia="en-US"/>
    </w:rPr>
  </w:style>
  <w:style w:type="paragraph" w:customStyle="1" w:styleId="71">
    <w:name w:val="Table Text"/>
    <w:basedOn w:val="1"/>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8353</Words>
  <Characters>8999</Characters>
  <Lines>81</Lines>
  <Paragraphs>23</Paragraphs>
  <TotalTime>1057</TotalTime>
  <ScaleCrop>false</ScaleCrop>
  <LinksUpToDate>false</LinksUpToDate>
  <CharactersWithSpaces>9172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2023-08-30T01:21:00Z</dcterms:created>
  <dc:creator>威行天下</dc:creator>
  <cp:lastModifiedBy>浚</cp:lastModifiedBy>
  <cp:lastPrinted>2023-07-24T08:37:00Z</cp:lastPrinted>
  <dcterms:modified xsi:type="dcterms:W3CDTF">2025-04-23T07:46:29Z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089036D771CD421B89EA9E7EE756CF5E_13</vt:lpwstr>
  </property>
  <property fmtid="{D5CDD505-2E9C-101B-9397-08002B2CF9AE}" pid="4" name="KSOTemplateDocerSaveRecord">
    <vt:lpwstr>eyJoZGlkIjoiZDg0NjE2OGExMTVmNTk1NDNmMjdjNTA0NDZlODc0ZWQiLCJ1c2VySWQiOiI1NDk2NjE4OTQifQ==</vt:lpwstr>
  </property>
</Properties>
</file>